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7B3EC">
      <w:pPr>
        <w:widowControl w:val="0"/>
        <w:kinsoku/>
        <w:autoSpaceDE/>
        <w:autoSpaceDN/>
        <w:spacing w:line="600" w:lineRule="exact"/>
        <w:ind w:firstLine="0" w:firstLineChars="0"/>
        <w:jc w:val="center"/>
        <w:textAlignment w:val="auto"/>
        <w:rPr>
          <w:color w:val="auto"/>
          <w:sz w:val="44"/>
          <w:szCs w:val="44"/>
          <w:lang w:eastAsia="zh-CN"/>
        </w:rPr>
      </w:pPr>
      <w:r>
        <w:rPr>
          <w:rFonts w:hint="eastAsia" w:ascii="方正小标宋简体" w:hAnsi="方正小标宋简体" w:eastAsia="方正小标宋简体" w:cs="方正小标宋简体"/>
          <w:snapToGrid/>
          <w:color w:val="auto"/>
          <w:kern w:val="2"/>
          <w:sz w:val="44"/>
          <w:szCs w:val="44"/>
          <w:lang w:eastAsia="zh-CN"/>
        </w:rPr>
        <w:t>湖北第二师范学院2025年度计算机科学与技术专业中外合作办学项目办学报告</w:t>
      </w:r>
    </w:p>
    <w:p w14:paraId="0EA1BE65">
      <w:pPr>
        <w:kinsoku/>
        <w:spacing w:line="540" w:lineRule="exact"/>
        <w:ind w:firstLine="0" w:firstLineChars="0"/>
        <w:rPr>
          <w:sz w:val="21"/>
          <w:lang w:eastAsia="zh-CN"/>
        </w:rPr>
      </w:pPr>
    </w:p>
    <w:p w14:paraId="78165663">
      <w:pPr>
        <w:pStyle w:val="2"/>
        <w:kinsoku/>
        <w:spacing w:before="0" w:line="360" w:lineRule="auto"/>
        <w:rPr>
          <w:snapToGrid/>
          <w:lang w:eastAsia="zh-CN"/>
        </w:rPr>
      </w:pPr>
      <w:r>
        <w:rPr>
          <w:rFonts w:hint="eastAsia"/>
          <w:snapToGrid/>
          <w:lang w:eastAsia="zh-CN"/>
        </w:rPr>
        <w:t>一、办学基本情况</w:t>
      </w:r>
    </w:p>
    <w:p w14:paraId="703575AB">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（一）项目基本信息</w:t>
      </w:r>
    </w:p>
    <w:p w14:paraId="20113998">
      <w:pPr>
        <w:widowControl w:val="0"/>
        <w:kinsoku/>
        <w:spacing w:line="360" w:lineRule="auto"/>
        <w:ind w:firstLine="643"/>
        <w:rPr>
          <w:rFonts w:ascii="仿宋_GB2312" w:eastAsia="仿宋_GB2312"/>
          <w:b/>
          <w:bCs/>
          <w:color w:val="auto"/>
          <w:szCs w:val="32"/>
          <w:lang w:eastAsia="zh-CN"/>
        </w:rPr>
      </w:pPr>
      <w:r>
        <w:rPr>
          <w:rFonts w:hint="eastAsia" w:ascii="仿宋_GB2312" w:eastAsia="仿宋_GB2312"/>
          <w:b/>
          <w:bCs/>
          <w:color w:val="auto"/>
          <w:szCs w:val="32"/>
          <w:lang w:eastAsia="zh-CN"/>
        </w:rPr>
        <w:t>项目名称：湖北第二师范学院与新西兰南方理工学院合作举办计算机科学与技术专业本科教育项目</w:t>
      </w:r>
    </w:p>
    <w:p w14:paraId="05BBEB62">
      <w:pPr>
        <w:widowControl w:val="0"/>
        <w:kinsoku/>
        <w:spacing w:line="360" w:lineRule="auto"/>
        <w:ind w:firstLine="640"/>
        <w:rPr>
          <w:rFonts w:ascii="方正仿宋_GB2312" w:hAnsi="方正仿宋_GB2312" w:cs="方正仿宋_GB2312"/>
          <w:szCs w:val="32"/>
          <w:lang w:eastAsia="zh-CN"/>
        </w:rPr>
      </w:pPr>
      <w:r>
        <w:rPr>
          <w:rFonts w:hint="eastAsia" w:ascii="仿宋_GB2312" w:eastAsia="仿宋_GB2312"/>
          <w:szCs w:val="32"/>
          <w:lang w:eastAsia="zh-CN"/>
        </w:rPr>
        <w:t>本项目为国家教育主管部门批准的中外合作办学本科教育项目（批准书编号：MOE42NZ2A20161781N），由湖北第二师范学院与新西兰南方理工学院（均为独立法人）联合实施。项目为全日制普通本科，学制四年，纳入国家普通高等教育招生计划，参加全国普通高等学校统一入学考试，严格执行国家统一招生政策，统招纳入湖北省理工类本科录取批次；2017—2</w:t>
      </w:r>
      <w:r>
        <w:rPr>
          <w:rFonts w:hint="eastAsia" w:ascii="仿宋_GB2312" w:eastAsia="仿宋_GB2312"/>
          <w:szCs w:val="32"/>
          <w:lang w:val="en-US" w:eastAsia="zh-CN"/>
        </w:rPr>
        <w:t>026</w:t>
      </w:r>
      <w:r>
        <w:rPr>
          <w:rFonts w:hint="eastAsia" w:ascii="仿宋_GB2312" w:eastAsia="仿宋_GB2312"/>
          <w:szCs w:val="32"/>
          <w:lang w:eastAsia="zh-CN"/>
        </w:rPr>
        <w:t>年每年招生1期、每期100人。考生需通过全国高考达到同批次分数线，经德智体美劳综合考核择优录取。项目采用“4+0”培养模式，学生完成两校规定课程并达到毕业要求后，可获湖北第二师范学院本科毕业证书、计算机科学与技术学士学位证书及新西兰南方理工学院信息技术学士学位。</w:t>
      </w:r>
      <w:bookmarkStart w:id="0" w:name="_GoBack"/>
      <w:bookmarkEnd w:id="0"/>
    </w:p>
    <w:p w14:paraId="5369C438">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（二）办学定位与目标</w:t>
      </w:r>
    </w:p>
    <w:p w14:paraId="1526FAA7">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办学定位：项目依托湖北第二师范学院计算机科学与技术国家级一流本科专业建设点（2025年湖北省专业动态监测中获评A级），融合新西兰南方理工学院注重实践应用和产业联系的办学优势，立足湖北、面向全国，服务区域数字经济、光电子信息产业和教育数字化发展需求，以“4+0”双学位为基本培养路径，突出国际化、应用型和工程实践导向，形成中外资源融合、课程协同和实践育人的办学特色。</w:t>
      </w:r>
    </w:p>
    <w:p w14:paraId="432BE915">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培养目标：坚持立德树人和成果导向，培养具有良好政治素养、职业道德、社会责任感和国际视野，系统掌握计算机科学与技术基础理论、专业知识和工程方法，具备英语应用、跨文化沟通、工程实践、创新创业和持续学习能力的高素质国际化应用型人才。毕业生能够从事系统开发、技术应用和项目管理等工作，也具备继续攻读国内外相关专业研究生的基础。同时注重学生计算机领域前沿技术认知和复杂工程问题解决能力，提升其在数字化环境中的综合竞争力。</w:t>
      </w:r>
    </w:p>
    <w:p w14:paraId="4A276495">
      <w:pPr>
        <w:pStyle w:val="3"/>
        <w:keepLines w:val="0"/>
        <w:widowControl w:val="0"/>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（三）中外方参与制定更新培养方案与教学计划情况</w:t>
      </w:r>
    </w:p>
    <w:p w14:paraId="3198DBC1">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2025版人才培养方案和教学计划由中外双方共同研制。中方把握思政、通识和专业基础课程质量，外方负责提供引进课程大纲、教学资源（专业核心课程、原版教材以及项目式、案例化教学）并选派或认可授课教师；双方围绕课程衔接、学分互认、实践模块和考核方式开展协商，压减重复内容，更新专业知识，并统筹公共英语与PTE强化课程安排。培养方案实施过程中根据教学反馈持续调整，确保外方课程、核心课程及外方教师授课比例符合国家要求。</w:t>
      </w:r>
    </w:p>
    <w:p w14:paraId="5A1F7856">
      <w:pPr>
        <w:pStyle w:val="3"/>
        <w:kinsoku/>
        <w:spacing w:before="0" w:after="0" w:line="360" w:lineRule="auto"/>
        <w:ind w:firstLine="641"/>
        <w:rPr>
          <w:rFonts w:ascii="方正仿宋_GB2312" w:hAnsi="方正仿宋_GB2312" w:cs="方正仿宋_GB2312"/>
          <w:szCs w:val="32"/>
          <w:lang w:eastAsia="zh-CN"/>
        </w:rPr>
      </w:pPr>
      <w:r>
        <w:rPr>
          <w:rFonts w:hint="eastAsia" w:ascii="方正楷体_GB2312" w:hAnsi="方正楷体_GB2312" w:eastAsia="方正楷体_GB2312" w:cs="方正楷体_GB2312"/>
          <w:szCs w:val="32"/>
          <w:lang w:eastAsia="zh-CN"/>
        </w:rPr>
        <w:t>（四）</w:t>
      </w:r>
      <w:r>
        <w:rPr>
          <w:rFonts w:ascii="方正楷体_GB2312" w:hAnsi="方正楷体_GB2312" w:eastAsia="方正楷体_GB2312" w:cs="方正楷体_GB2312"/>
          <w:szCs w:val="32"/>
          <w:lang w:eastAsia="zh-CN"/>
        </w:rPr>
        <w:t>本年度招生和毕业生情况</w:t>
      </w:r>
    </w:p>
    <w:p w14:paraId="688D140E">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2025年，项目面向多省份计划招生100人，实际录取93人。2025届毕业年级学生</w:t>
      </w:r>
      <w:r>
        <w:rPr>
          <w:rFonts w:ascii="仿宋_GB2312" w:eastAsia="仿宋_GB2312"/>
          <w:szCs w:val="32"/>
          <w:lang w:eastAsia="zh-CN"/>
        </w:rPr>
        <w:t>89</w:t>
      </w:r>
      <w:r>
        <w:rPr>
          <w:rFonts w:hint="eastAsia" w:ascii="仿宋_GB2312" w:eastAsia="仿宋_GB2312"/>
          <w:szCs w:val="32"/>
          <w:lang w:eastAsia="zh-CN"/>
        </w:rPr>
        <w:t>人，实际毕业年级学生</w:t>
      </w:r>
      <w:r>
        <w:rPr>
          <w:rFonts w:hint="eastAsia" w:ascii="仿宋_GB2312" w:eastAsia="仿宋_GB2312"/>
          <w:color w:val="auto"/>
          <w:szCs w:val="32"/>
          <w:lang w:eastAsia="zh-CN"/>
        </w:rPr>
        <w:t>88人</w:t>
      </w:r>
      <w:r>
        <w:rPr>
          <w:rFonts w:hint="eastAsia" w:ascii="仿宋_GB2312" w:eastAsia="仿宋_GB2312"/>
          <w:szCs w:val="32"/>
          <w:lang w:eastAsia="zh-CN"/>
        </w:rPr>
        <w:t>，中方学位授予88人、外方学位授予11人；其中境内升学8人、境外升学5人，协议和合同就业6</w:t>
      </w:r>
      <w:r>
        <w:rPr>
          <w:rFonts w:ascii="仿宋_GB2312" w:eastAsia="仿宋_GB2312"/>
          <w:szCs w:val="32"/>
          <w:lang w:eastAsia="zh-CN"/>
        </w:rPr>
        <w:t>6</w:t>
      </w:r>
      <w:r>
        <w:rPr>
          <w:rFonts w:hint="eastAsia" w:ascii="仿宋_GB2312" w:eastAsia="仿宋_GB2312"/>
          <w:szCs w:val="32"/>
          <w:lang w:eastAsia="zh-CN"/>
        </w:rPr>
        <w:t>人、自主就业1人。毕业生就业单位包括银行、电网、高校及科技企业等，毕业去向总体稳定。</w:t>
      </w:r>
    </w:p>
    <w:p w14:paraId="5760368A">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项目继续实行多省招生，2025年延续湖北省外招生布局，生源规模总体稳定。毕业生去向覆盖境内升学、境外深造和就业等不同路径，境内外升学方面，截止2025年度，共有37名学生被杭州电子科技大学、华中师范大学、中国地质大学、湖北大学等国内高校录取攻读硕士研究生，28名学生获得奥克兰大学、新加坡南洋理工大学、西交利物浦大学、悉尼大学等海外高校硕士录取；就业方面，就业单位包括中国建设银行、中国农业银行、国家电网相关企业、高校及科技公司等，人才培养出口呈现多元化。</w:t>
      </w:r>
    </w:p>
    <w:p w14:paraId="00B41E37">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（五）学生规模和师资队伍情况</w:t>
      </w:r>
    </w:p>
    <w:p w14:paraId="5FD1197B">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2025年度在校学生37</w:t>
      </w:r>
      <w:r>
        <w:rPr>
          <w:rFonts w:ascii="仿宋_GB2312" w:eastAsia="仿宋_GB2312"/>
          <w:szCs w:val="32"/>
          <w:lang w:eastAsia="zh-CN"/>
        </w:rPr>
        <w:t>6</w:t>
      </w:r>
      <w:r>
        <w:rPr>
          <w:rFonts w:hint="eastAsia" w:ascii="仿宋_GB2312" w:eastAsia="仿宋_GB2312"/>
          <w:szCs w:val="32"/>
          <w:lang w:eastAsia="zh-CN"/>
        </w:rPr>
        <w:t>人。</w:t>
      </w:r>
    </w:p>
    <w:p w14:paraId="02D65D89">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中方教学团队共38人，其中湖北名师1人、3551光谷创业人才1人。20人具有博士学位、6人具有半年及以上境外研修或留学经历；职称结构为教授6人、副教授15人、讲师14人、工程师3人。</w:t>
      </w:r>
    </w:p>
    <w:p w14:paraId="71141A52">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外方按合作协议定期派遣教师来校授课，项目外方教师共9人，其中长期在校任教6人，每名教师承担2—4门专业课程，承担专业核心课程门数和教学时数占全部课程及教学时长要求三分之一以上。项目持续加强中外师资协同，打造“双师型”教学团队，2025年选派6名专业教师赴新西兰南方理工学院访学进修、担任外方课程助教与合作研究员。项目通过联合备课、教学交流和师资研修等方式加强中外教师协作，提升国际化教学和课程共建能力。</w:t>
      </w:r>
    </w:p>
    <w:p w14:paraId="1472B473">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（六）延期变更和参加评估情况</w:t>
      </w:r>
    </w:p>
    <w:p w14:paraId="053795E7">
      <w:pPr>
        <w:widowControl w:val="0"/>
        <w:kinsoku/>
        <w:spacing w:line="360" w:lineRule="auto"/>
        <w:ind w:firstLine="640"/>
        <w:rPr>
          <w:rFonts w:hint="default" w:ascii="仿宋_GB2312" w:eastAsia="仿宋_GB2312"/>
          <w:szCs w:val="32"/>
          <w:lang w:val="en-US" w:eastAsia="zh-CN"/>
        </w:rPr>
      </w:pPr>
      <w:r>
        <w:rPr>
          <w:rFonts w:hint="eastAsia" w:ascii="仿宋_GB2312" w:eastAsia="仿宋_GB2312"/>
          <w:szCs w:val="32"/>
          <w:lang w:eastAsia="zh-CN"/>
        </w:rPr>
        <w:t>截至2025年度，项目完成1个完整培养周期，累计参加中外合作办学评估1次，评估结果为“合格”。</w:t>
      </w:r>
      <w:r>
        <w:rPr>
          <w:rFonts w:hint="eastAsia" w:ascii="仿宋_GB2312" w:hAnsi="仿宋_GB2312" w:eastAsia="仿宋_GB2312" w:cs="仿宋_GB2312"/>
          <w:color w:val="auto"/>
          <w:sz w:val="32"/>
          <w:szCs w:val="32"/>
          <w:highlight w:val="none"/>
          <w:lang w:val="en-US" w:eastAsia="zh-CN"/>
        </w:rPr>
        <w:t>2026年项目申请延期招生至2031年。</w:t>
      </w:r>
    </w:p>
    <w:p w14:paraId="465E3397">
      <w:pPr>
        <w:pStyle w:val="2"/>
        <w:kinsoku/>
        <w:spacing w:before="0" w:line="360" w:lineRule="auto"/>
        <w:rPr>
          <w:snapToGrid/>
          <w:color w:val="auto"/>
          <w:lang w:eastAsia="zh-CN"/>
        </w:rPr>
      </w:pPr>
      <w:r>
        <w:rPr>
          <w:rFonts w:hint="eastAsia"/>
          <w:snapToGrid/>
          <w:color w:val="auto"/>
          <w:lang w:eastAsia="zh-CN"/>
        </w:rPr>
        <w:t>二、党建思政工作情况</w:t>
      </w:r>
    </w:p>
    <w:p w14:paraId="60DF7948">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（一）党建工作</w:t>
      </w:r>
    </w:p>
    <w:p w14:paraId="45771CB6">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在学校党委统一领导下，项目建立“学校统筹、学院负责、支部落实”的党建工作机制，将党的建设与教学管理、学生工作和国际交流协同推进，持续开展党的创新理论学习和课程思政建设，确保党的教育方针和立德树人根本任务贯穿项目建设与人才培养全过程。</w:t>
      </w:r>
    </w:p>
    <w:p w14:paraId="10BDC034">
      <w:pPr>
        <w:pStyle w:val="3"/>
        <w:kinsoku/>
        <w:spacing w:before="0" w:after="0" w:line="360" w:lineRule="auto"/>
        <w:ind w:firstLine="641"/>
        <w:rPr>
          <w:rFonts w:ascii="方正仿宋_GB2312" w:hAnsi="方正仿宋_GB2312" w:cs="方正仿宋_GB2312"/>
          <w:szCs w:val="32"/>
          <w:lang w:eastAsia="zh-CN"/>
        </w:rPr>
      </w:pPr>
      <w:r>
        <w:rPr>
          <w:rFonts w:hint="eastAsia" w:ascii="方正楷体_GB2312" w:hAnsi="方正楷体_GB2312" w:eastAsia="方正楷体_GB2312" w:cs="方正楷体_GB2312"/>
          <w:szCs w:val="32"/>
          <w:lang w:eastAsia="zh-CN"/>
        </w:rPr>
        <w:t>（二）意识形态工作</w:t>
      </w:r>
    </w:p>
    <w:p w14:paraId="15D6A750">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意识形态教育贯穿项目学生日常教育管理。2025年继续通过主题团日、升旗教育和红色实践等形式开展价值引领，组织学生赴八七会议会址、红安革命纪念馆等地现场学习；每年安排4次集中升旗主题教育，并结合重要会议精神学习，引导学生增强政治认同、文化自信和责任意识。</w:t>
      </w:r>
    </w:p>
    <w:p w14:paraId="70DC8398">
      <w:pPr>
        <w:pStyle w:val="3"/>
        <w:kinsoku/>
        <w:spacing w:before="0" w:after="0" w:line="360" w:lineRule="auto"/>
        <w:ind w:firstLine="641"/>
        <w:rPr>
          <w:rFonts w:ascii="方正楷体_GB2312" w:hAnsi="方正楷体_GB2312" w:eastAsia="方正楷体_GB2312" w:cs="方正楷体_GB2312"/>
          <w:color w:val="auto"/>
          <w:szCs w:val="32"/>
          <w:lang w:eastAsia="zh-CN"/>
        </w:rPr>
      </w:pPr>
      <w:r>
        <w:rPr>
          <w:rFonts w:hint="eastAsia" w:ascii="方正楷体_GB2312" w:hAnsi="方正楷体_GB2312" w:eastAsia="方正楷体_GB2312" w:cs="方正楷体_GB2312"/>
          <w:color w:val="auto"/>
          <w:szCs w:val="32"/>
          <w:lang w:eastAsia="zh-CN"/>
        </w:rPr>
        <w:t>（三）学生思政工作</w:t>
      </w:r>
    </w:p>
    <w:p w14:paraId="1D80915C">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项目教学计划严格落实国家有关思想政治理论课程要求，《习近平新时代中国特色社会主义思想概论》《马克思主义基本原理》《毛泽东思想和中国特色社会主义理论体系概论》《中国近现代史纲要》《思想道德与法治》《形势与政策》等课程开齐开足，并以国家安全、心理健康、劳动教育等课程补充综合素质教育，推动思政课程、课程思政和实践育人协同实施。</w:t>
      </w:r>
    </w:p>
    <w:p w14:paraId="6552C53C">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学生骨干培养和团学组织建设同步推进。2025年度，81名项目学生参加校院两级团校培训，31余人在校院学生组织中任职，20余人次获得优秀共青团干部、优秀班干部、三好学生等校级荣誉，学生自我教育、自我管理和朋辈带动作用进一步发挥，形成党团班协同育人格局。</w:t>
      </w:r>
    </w:p>
    <w:p w14:paraId="3CE46CBE">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（四）师德师风工作</w:t>
      </w:r>
    </w:p>
    <w:p w14:paraId="6DB163A0">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学校紧紧围绕立德树人根本任务，把师德师风作为教师队伍建设第一标准，严格落实师德师风“一票否决”制。项目对中外教师统一加强职业规范和师德教育，外籍教师聘任、合同签订、教学实施和质量评价均纳入学校制度管理，明确我国法律法规和教师职业规范要求。项目运行期间，中外教师总体履职规范，未发现违反教师职业道德规范的情况。</w:t>
      </w:r>
    </w:p>
    <w:p w14:paraId="58EF5AFB">
      <w:pPr>
        <w:pStyle w:val="3"/>
        <w:kinsoku/>
        <w:spacing w:before="0" w:after="0" w:line="360" w:lineRule="auto"/>
        <w:ind w:firstLine="641"/>
        <w:rPr>
          <w:rFonts w:ascii="方正楷体_GB2312" w:hAnsi="方正楷体_GB2312" w:eastAsia="方正楷体_GB2312" w:cs="方正楷体_GB2312"/>
          <w:color w:val="auto"/>
          <w:szCs w:val="32"/>
          <w:lang w:eastAsia="zh-CN"/>
        </w:rPr>
      </w:pPr>
      <w:r>
        <w:rPr>
          <w:rFonts w:hint="eastAsia" w:ascii="方正楷体_GB2312" w:hAnsi="方正楷体_GB2312" w:eastAsia="方正楷体_GB2312" w:cs="方正楷体_GB2312"/>
          <w:color w:val="auto"/>
          <w:szCs w:val="32"/>
          <w:lang w:eastAsia="zh-CN"/>
        </w:rPr>
        <w:t>（五）项目党建发展基本数据</w:t>
      </w:r>
    </w:p>
    <w:p w14:paraId="7D1B6D7D">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项目学生隶属计算机与人工智能学院学生第三党支部，目前有正式党员29名、预备党员10名、入党积极分子28名、入党申请人89名，党建工作呈现稳步上升发展态势。党支部将党建与学风建设、学科竞赛和朋辈帮扶结合，党员参与学风督察、竞赛团队和“一站式”学生社区建设，相关党建案例获湖北省高等学校党建研究会2025年高校党建创新优秀案例三等奖。</w:t>
      </w:r>
    </w:p>
    <w:p w14:paraId="51F65008">
      <w:pPr>
        <w:pStyle w:val="3"/>
        <w:kinsoku/>
        <w:spacing w:before="0" w:after="0" w:line="360" w:lineRule="auto"/>
        <w:ind w:firstLine="641"/>
        <w:rPr>
          <w:rFonts w:ascii="黑体" w:hAnsi="黑体" w:eastAsia="黑体" w:cs="黑体"/>
          <w:snapToGrid/>
          <w:kern w:val="2"/>
          <w:szCs w:val="32"/>
          <w:lang w:eastAsia="zh-CN"/>
        </w:rPr>
      </w:pPr>
      <w:r>
        <w:rPr>
          <w:rFonts w:hint="eastAsia" w:ascii="方正楷体_GB2312" w:hAnsi="方正楷体_GB2312" w:eastAsia="方正楷体_GB2312" w:cs="方正楷体_GB2312"/>
          <w:szCs w:val="32"/>
          <w:lang w:eastAsia="zh-CN"/>
        </w:rPr>
        <w:t>（六）薄弱环节及下步措施</w:t>
      </w:r>
    </w:p>
    <w:p w14:paraId="1BBA6D4A">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当前薄弱环节主要为：境外学习阶段思想政治教育和党员管理衔接仍需加强，外方课程价值引领及全过程风险防控有待进一步完善。下一步将依托专业教师、线上平台、境外走访和学生工作站健全境内外协同育人机制，加强外方课程、数字资源和外籍教师全过程管理，持续凝练中外合作办学党建育人特色。对境外学习学生实行常态联系和动态跟踪，增强思想教育、学业指导与安全管理的连续性。</w:t>
      </w:r>
    </w:p>
    <w:p w14:paraId="5BAA3ADC">
      <w:pPr>
        <w:pStyle w:val="2"/>
        <w:kinsoku/>
        <w:spacing w:before="0" w:line="360" w:lineRule="auto"/>
        <w:rPr>
          <w:snapToGrid/>
          <w:lang w:eastAsia="zh-CN"/>
        </w:rPr>
      </w:pPr>
      <w:r>
        <w:rPr>
          <w:rFonts w:hint="eastAsia"/>
          <w:snapToGrid/>
          <w:lang w:eastAsia="zh-CN"/>
        </w:rPr>
        <w:t>三、教育教学工作情况</w:t>
      </w:r>
    </w:p>
    <w:p w14:paraId="3158B862">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（一）课程设置</w:t>
      </w:r>
    </w:p>
    <w:p w14:paraId="180716AA">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计算机科学与技术（中外合作办学）本科专业实行四年制“4+0”双学位培养。学生须在国内完成四年学习，其中包含新西兰南方理工学院学位要求的8门专业核心课程和16门专业课程。课程体系由中方课程、外方课程、通识教育、专业选修、实践教学、公共外语及PTE语言强化等模块构成，双方通过课程整合、学分互认和共同制定教学大纲，促进优质外方资源本土化。课程设置以学生核心能力和毕业要求为导向，突出计算思维、算法与程序设计、系统开发、工程实践和国际交流能力培养，并兼顾国内就业与海外深造需求。</w:t>
      </w:r>
    </w:p>
    <w:p w14:paraId="262DEAC6">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2025级执行2025版人才培养方案，课程体系总学分178分，其中通识必修课81学分，学科基础课与专业核心课50学分，专业选修课不少于13学分，专业综合实践34学分。学生完成全部课程学习，修满规定学分并通过毕业论文（设计）答辩后方可毕业。</w:t>
      </w:r>
    </w:p>
    <w:p w14:paraId="1A77112A">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2025年度，我机构严格按照中外合作办学“四个三分之一”的要求，高质量开设各类课程。2025年度实际开设课程57门，总学时2420、总学分178；引进外方课程</w:t>
      </w:r>
      <w:r>
        <w:rPr>
          <w:rFonts w:hint="eastAsia" w:ascii="仿宋_GB2312" w:eastAsia="仿宋_GB2312"/>
          <w:color w:val="auto"/>
          <w:szCs w:val="32"/>
          <w:lang w:val="en-US" w:eastAsia="zh-CN"/>
        </w:rPr>
        <w:t>2</w:t>
      </w:r>
      <w:r>
        <w:rPr>
          <w:rFonts w:hint="eastAsia" w:ascii="仿宋_GB2312" w:eastAsia="仿宋_GB2312"/>
          <w:color w:val="auto"/>
          <w:szCs w:val="32"/>
          <w:lang w:eastAsia="zh-CN"/>
        </w:rPr>
        <w:t>1门，占</w:t>
      </w:r>
      <w:r>
        <w:rPr>
          <w:rFonts w:hint="eastAsia" w:ascii="仿宋_GB2312" w:eastAsia="仿宋_GB2312"/>
          <w:color w:val="auto"/>
          <w:szCs w:val="32"/>
          <w:lang w:val="en-US" w:eastAsia="zh-CN"/>
        </w:rPr>
        <w:t>36</w:t>
      </w:r>
      <w:r>
        <w:rPr>
          <w:rFonts w:hint="eastAsia" w:ascii="仿宋_GB2312" w:eastAsia="仿宋_GB2312"/>
          <w:color w:val="auto"/>
          <w:szCs w:val="32"/>
          <w:lang w:eastAsia="zh-CN"/>
        </w:rPr>
        <w:t>.</w:t>
      </w:r>
      <w:r>
        <w:rPr>
          <w:rFonts w:hint="eastAsia" w:ascii="仿宋_GB2312" w:eastAsia="仿宋_GB2312"/>
          <w:color w:val="auto"/>
          <w:szCs w:val="32"/>
          <w:lang w:val="en-US" w:eastAsia="zh-CN"/>
        </w:rPr>
        <w:t>8</w:t>
      </w:r>
      <w:r>
        <w:rPr>
          <w:rFonts w:hint="eastAsia" w:ascii="仿宋_GB2312" w:eastAsia="仿宋_GB2312"/>
          <w:color w:val="auto"/>
          <w:szCs w:val="32"/>
          <w:lang w:eastAsia="zh-CN"/>
        </w:rPr>
        <w:t>%。在核心课程建设方面，专业核心课程31门，其中</w:t>
      </w:r>
      <w:r>
        <w:rPr>
          <w:rFonts w:hint="eastAsia" w:ascii="仿宋_GB2312" w:eastAsia="仿宋_GB2312"/>
          <w:color w:val="auto"/>
          <w:szCs w:val="32"/>
          <w:lang w:val="en-US" w:eastAsia="zh-CN"/>
        </w:rPr>
        <w:t>属</w:t>
      </w:r>
      <w:r>
        <w:rPr>
          <w:rFonts w:hint="eastAsia" w:ascii="仿宋_GB2312" w:eastAsia="仿宋_GB2312"/>
          <w:szCs w:val="32"/>
          <w:lang w:val="en-US" w:eastAsia="zh-CN"/>
        </w:rPr>
        <w:t>于</w:t>
      </w:r>
      <w:r>
        <w:rPr>
          <w:rFonts w:hint="eastAsia" w:ascii="仿宋_GB2312" w:eastAsia="仿宋_GB2312"/>
          <w:szCs w:val="32"/>
          <w:lang w:eastAsia="zh-CN"/>
        </w:rPr>
        <w:t>外方引进课程21门，占67.7%。在师资与课时方面，外方教师</w:t>
      </w:r>
      <w:r>
        <w:rPr>
          <w:rFonts w:hint="eastAsia" w:ascii="仿宋_GB2312" w:eastAsia="仿宋_GB2312"/>
          <w:szCs w:val="32"/>
          <w:lang w:val="en-US" w:eastAsia="zh-CN"/>
        </w:rPr>
        <w:t>担负</w:t>
      </w:r>
      <w:r>
        <w:rPr>
          <w:rFonts w:hint="eastAsia" w:ascii="仿宋_GB2312" w:eastAsia="仿宋_GB2312"/>
          <w:szCs w:val="32"/>
          <w:lang w:eastAsia="zh-CN"/>
        </w:rPr>
        <w:t>课程20门，占全部课程35.1%；外方教师</w:t>
      </w:r>
      <w:r>
        <w:rPr>
          <w:rFonts w:hint="eastAsia" w:ascii="仿宋_GB2312" w:eastAsia="仿宋_GB2312"/>
          <w:szCs w:val="32"/>
          <w:lang w:val="en-US" w:eastAsia="zh-CN"/>
        </w:rPr>
        <w:t>担负</w:t>
      </w:r>
      <w:r>
        <w:rPr>
          <w:rFonts w:hint="eastAsia" w:ascii="仿宋_GB2312" w:eastAsia="仿宋_GB2312"/>
          <w:szCs w:val="32"/>
          <w:lang w:eastAsia="zh-CN"/>
        </w:rPr>
        <w:t>840学时，占总学时34.7%。上述指标均达到或超额满足教育部规定的“四个三分之一”要求。</w:t>
      </w:r>
    </w:p>
    <w:p w14:paraId="19E32BF0">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（二）师资配备</w:t>
      </w:r>
    </w:p>
    <w:p w14:paraId="42A80D1F">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项目建设中外协同、结构合理、兼具国际视野与实践能力的师资队伍。</w:t>
      </w:r>
    </w:p>
    <w:p w14:paraId="4D1A4D7A">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中方师资以专职教师为主体，共38人，其中教授6人、副教授15人、讲师14人、工程师3人；博士20人，具有半年及以上境外研修或留学经历者6人。现有湖北名师1人、3551光谷创业人才1人，并依托省级科技创新团队、优秀教学团队、优秀基层教学组织和专业名师工作室开展高质量课程建设。教师队伍职称、年龄和学位结构分布合理。</w:t>
      </w:r>
    </w:p>
    <w:p w14:paraId="6A268915">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外方定期选派专业教师来校授课，每名教师承担2—4门专业课程。承担项目教学任务的外方教师共9人，其中长期在校任教6人。</w:t>
      </w:r>
    </w:p>
    <w:p w14:paraId="09A17033">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中外教师围绕同一培养目标分工协作：中方教师侧重专业基础、工程实践和本土产业案例教学，外方教师侧重国际化专业知识和创新训练，双方通过课程共建、联合备课和教学交流实现优势互补。</w:t>
      </w:r>
    </w:p>
    <w:p w14:paraId="2456BF95">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（三）教学质量</w:t>
      </w:r>
    </w:p>
    <w:p w14:paraId="5E002035">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项目建立覆盖培养方案、课程教学、实践教学、课程考核、实习和毕业论文（设计）等环节的教学质量保障体系，实行制度化、常态化监控与评价。</w:t>
      </w:r>
    </w:p>
    <w:p w14:paraId="54E2CEA1">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在制度层面，校、院两级共制定47项教学管理制度，明确主要教学环节质量标准。原则上每4年开展课程体系合理性评价，每年6月开展毕业要求达成情况评价，每学期末开展课程质量评价，形成“评价—反馈—改进”闭环。</w:t>
      </w:r>
    </w:p>
    <w:p w14:paraId="4EDF1BA4">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在培养方案制定与修订方面，中外双方共同修订培养方案和课程大纲，中方强化思政、通识和专业基础课程质量，外方引入核心课程、原版教材及项目式、案例化教学；双方围绕课程衔接、学分互认和实践模块开展协同建设。</w:t>
      </w:r>
    </w:p>
    <w:p w14:paraId="3E3D7872">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在课程建设与教学实施方面，课程实施中持续推进外方资源本土化，依据双方课程清单精简重复内容、更新前沿知识，优化公共英语与PTE强化课程，增强课程体系与培养目标、国内产业需求的匹配度。</w:t>
      </w:r>
    </w:p>
    <w:p w14:paraId="68AAE408">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教学质量保障主要从以下方面推进：</w:t>
      </w:r>
    </w:p>
    <w:p w14:paraId="670D1FB2">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一是健全监督与过程监控。项目严格执行中外合作办学法规和“四个三分之一”要求，定期报送年度办学情况，实施教材和课件“三审制度”，重大外事活动按规定报备；校、院两级对培养方案、课堂教学和课程考核等全过程进行质量监控。</w:t>
      </w:r>
    </w:p>
    <w:p w14:paraId="3D76E17B">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二是明确管理责任和质量标准。双方联合管理委员会统筹重大决策，教务、国际交流、质量评估、财务、招生就业等部门协同管理，学院负责具体实施；各核心教学环节明确质量要求、责任人和档案记录，中方骨干教师定期赴外方交流培训。</w:t>
      </w:r>
    </w:p>
    <w:p w14:paraId="4EDF17B1">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三是加强中外联合监督和学风建设。中外专业教学委员会每学期至少召开1次会议审核教学计划，外方专员和中方教务部门共同督导课程实施；项目班级纳入学院统一学生管理，实行考勤、学业规范和学术诚信教育，鼓励学生参加专业竞赛和创新实践。</w:t>
      </w:r>
    </w:p>
    <w:p w14:paraId="77516DC2">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四是针对课程本土化、中外教师沟通、英语基础差异和跨国实践参与不足等问题，持续完善联合备课和月度教学研讨，推行英语分层与前置辅导、中外双导师指导，并整合校企实践资源和家校沟通机制，为学生提供差异化学习、出国和发展支持。</w:t>
      </w:r>
    </w:p>
    <w:p w14:paraId="542BED6E">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目前已通过联合编写补充讲义、引入国内产业案例、探索“外方实践考核+中方笔试评估”、优化实践平台和专项预算等措施推进整改，并依托校企双导师制和海外交流激励机制提升学生工程实践与国际交流参与度。</w:t>
      </w:r>
    </w:p>
    <w:p w14:paraId="492EA282">
      <w:pPr>
        <w:pStyle w:val="2"/>
        <w:kinsoku/>
        <w:spacing w:before="0" w:line="360" w:lineRule="auto"/>
        <w:rPr>
          <w:snapToGrid/>
          <w:color w:val="auto"/>
          <w:lang w:eastAsia="zh-CN"/>
        </w:rPr>
      </w:pPr>
      <w:r>
        <w:rPr>
          <w:rFonts w:hint="eastAsia"/>
          <w:snapToGrid/>
          <w:color w:val="auto"/>
          <w:lang w:eastAsia="zh-CN"/>
        </w:rPr>
        <w:t>四、人才培养成效情况</w:t>
      </w:r>
    </w:p>
    <w:p w14:paraId="15685CD5">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（一）培养目标达成情况</w:t>
      </w:r>
    </w:p>
    <w:p w14:paraId="3B898320">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2025年度，项目学生参加学科竞赛和创新实践活动共获奖43项，其中个人奖27项、团体奖16项，涵盖程序设计、人工智能、计算机应用与创新设计、创新创业、机器人、嵌入式系统及英语能力等方向。国家级奖项11项，其中个人奖7项、团体奖4项。个人奖包括蓝桥杯、睿抗机器人开发者大赛、中国高校计算机大赛团体程序设计天梯赛、全国大学生英语竞赛等；团体奖包括中国大学生计算机设计大赛、“挑战杯”、天梯赛及中国国际大学生创新创业大赛等。省级奖项32项，其中个人奖20项、团体奖12项，覆盖蓝桥杯、睿抗机器人开发者大赛、职业规划大赛、三创赛、湖北省大学生信创大赛、中国大学生计算机设计大赛、“挑战杯”、软件创新大赛、嵌入式芯片与系统设计竞赛及中国国际大学生创新创业大赛等。另有校级奖项15人次，主要为学业奖学金和综合荣誉称号。</w:t>
      </w:r>
    </w:p>
    <w:p w14:paraId="78D33613">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项目持续完善协同育人和学生发展支持机制，学生职业道德、社会责任、团队协作及综合实践能力稳步提升，学生教育管理与心理支持总体运行平稳。学生参与社会实践、志愿服务比例达93%；企业实习中，94%的企业对学生团队协作和职业素养给予积极评价，反映出培养体系与行业需求具有较高契合度。</w:t>
      </w:r>
    </w:p>
    <w:p w14:paraId="0BD4A5FE">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（二）学生发展支持体系建设</w:t>
      </w:r>
    </w:p>
    <w:p w14:paraId="79C1F422">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项目围绕学习指导、心理辅导、职业规划、就业服务和国际化适应等学生发展需求统筹推进，构建学校、学院、家庭协同参与的学生发展支持体系，将“三全育人”贯穿学生成长全过程。</w:t>
      </w:r>
    </w:p>
    <w:p w14:paraId="3883F0FD">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在学业与心理支持方面，新生入学后开展培养方案和课程体系解读，对学习困难学生实施预警、帮扶和朋辈辅导；依托“朋辈服务计划”为项目班级配置高年级助理，并通过经验分享活动帮助学生适应专业学习。心理支持依托“校—院—班—寝”四级服务体系开展咨询、教育和动态关注，结合个性化成长档案、家长沟通平台及时处理学习和适应问题。</w:t>
      </w:r>
    </w:p>
    <w:p w14:paraId="34C1BB16">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在职业与国际化发展支持方面，项目通过就业指导、经验分享、岗位信息和海外学习规划等方式帮助学生明确发展路径。年均组织13场专场招聘会，近百家企业提供2700余个岗位；同时针对全英文课程、语言学习和跨文化适应开展专项指导，提升学生对不同学习与职业路径的准备度。</w:t>
      </w:r>
    </w:p>
    <w:p w14:paraId="617E99BF">
      <w:pPr>
        <w:pStyle w:val="3"/>
        <w:kinsoku/>
        <w:spacing w:before="0" w:after="0" w:line="360" w:lineRule="auto"/>
        <w:ind w:firstLine="621"/>
        <w:rPr>
          <w:rFonts w:ascii="方正楷体_GB2312" w:hAnsi="方正楷体_GB2312" w:eastAsia="方正楷体_GB2312" w:cs="方正楷体_GB2312"/>
          <w:sz w:val="31"/>
          <w:szCs w:val="31"/>
          <w:lang w:eastAsia="zh-CN"/>
        </w:rPr>
      </w:pPr>
      <w:r>
        <w:rPr>
          <w:rFonts w:hint="eastAsia" w:ascii="方正楷体_GB2312" w:hAnsi="方正楷体_GB2312" w:eastAsia="方正楷体_GB2312" w:cs="方正楷体_GB2312"/>
          <w:sz w:val="31"/>
          <w:szCs w:val="31"/>
          <w:lang w:eastAsia="zh-CN"/>
        </w:rPr>
        <w:t>（三）学生国际视野与跨文化交流能力培养与实习实践</w:t>
      </w:r>
    </w:p>
    <w:p w14:paraId="4043C691">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语言能力培养与专业学习同步推进。项目按照外方专业学习的语言要求，将雅思6.0分及以上或PTE50分及以上作为重要基础条件，形成课程教学、专项培训和国际交流相衔接的英语培养体系。英语听说由外籍教师参与教学，中方50%以上专业课程采用双语教学，外方课程实行全英文授课。2025级9</w:t>
      </w:r>
      <w:r>
        <w:rPr>
          <w:rFonts w:ascii="仿宋_GB2312" w:eastAsia="仿宋_GB2312"/>
          <w:szCs w:val="32"/>
          <w:lang w:eastAsia="zh-CN"/>
        </w:rPr>
        <w:t>3</w:t>
      </w:r>
      <w:r>
        <w:rPr>
          <w:rFonts w:hint="eastAsia" w:ascii="仿宋_GB2312" w:eastAsia="仿宋_GB2312"/>
          <w:szCs w:val="32"/>
          <w:lang w:eastAsia="zh-CN"/>
        </w:rPr>
        <w:t>名新生参加3个月PTE专项培训，培训后英语达标率较入学初期大幅提升。</w:t>
      </w:r>
    </w:p>
    <w:p w14:paraId="52AB7A06">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2025年国际交流参与规模进一步扩大，全年18名学生参加境外寒暑期游学，目的地覆盖新西兰、英国、新加坡、马来西亚、韩国及中国香港、澳门等地。学生通过全英文课程、跨国课堂协作和文化体验提升跨文化沟通能力；当届毕业生中有5名学生成功申请中国澳门、英国、澳洲、丹麦等高校继续深造。</w:t>
      </w:r>
    </w:p>
    <w:p w14:paraId="20256151">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项目构建“课程基础实验—专项实训—综合实践—企业实习”递进式实践教学体系，建有3个中外联合实践基地和18个国内实训基地，将PBL和真实工程场景融入教学。学生人均参与实训项目3.2个，并参与企业真实项目、虚拟仿真实训和专业综合实践，多名学生进入行业企业实习，部分实现实习留任。现有实践平台覆盖人工智能、大数据、网络安全和新工科创新等方向，为不同年级的工程训练提供支撑。</w:t>
      </w:r>
    </w:p>
    <w:p w14:paraId="6F0A668F">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（四）升学与就业</w:t>
      </w:r>
    </w:p>
    <w:p w14:paraId="681BB1B1">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2025届毕业生总体就业落实较为稳定，就业率为9</w:t>
      </w:r>
      <w:r>
        <w:rPr>
          <w:rFonts w:ascii="仿宋_GB2312" w:eastAsia="仿宋_GB2312"/>
          <w:szCs w:val="32"/>
          <w:lang w:eastAsia="zh-CN"/>
        </w:rPr>
        <w:t>0</w:t>
      </w:r>
      <w:r>
        <w:rPr>
          <w:rFonts w:hint="eastAsia" w:ascii="仿宋_GB2312" w:eastAsia="仿宋_GB2312"/>
          <w:szCs w:val="32"/>
          <w:lang w:eastAsia="zh-CN"/>
        </w:rPr>
        <w:t>.9%。就业领域主要涉及IT互联网、教育信息化、金融及相关企事业单位，毕业岗位与计算机专业培养方向总体衔接。</w:t>
      </w:r>
    </w:p>
    <w:p w14:paraId="7F7772FC">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升学方面，2025届共有13名学生继续攻读研究生，其中8人在境内升学、5人赴境外深造。形成国内升学、海外深造与就业并行的多元发展格局。</w:t>
      </w:r>
    </w:p>
    <w:p w14:paraId="23B22EDD">
      <w:pPr>
        <w:pStyle w:val="2"/>
        <w:kinsoku/>
        <w:spacing w:before="0" w:line="360" w:lineRule="auto"/>
        <w:rPr>
          <w:snapToGrid/>
          <w:lang w:eastAsia="zh-CN"/>
        </w:rPr>
      </w:pPr>
      <w:r>
        <w:rPr>
          <w:rFonts w:hint="eastAsia"/>
          <w:snapToGrid/>
          <w:lang w:eastAsia="zh-CN"/>
        </w:rPr>
        <w:t>五、</w:t>
      </w:r>
      <w:r>
        <w:rPr>
          <w:snapToGrid/>
          <w:lang w:eastAsia="zh-CN"/>
        </w:rPr>
        <w:t>财务管理情况</w:t>
      </w:r>
    </w:p>
    <w:p w14:paraId="14E2766B">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本项目坚定不移坚持中外合作办学的非营利性原则，严格遵守国家有关规定，根据湖北省物价局批复的收费许可证中的标准，并按照学校的财务管理制度执行，收费标准均在湖北第二师范学院财务处官网及湖北第二师范学院信息公开网进行公示。按照审批、公示、收费的工作程序，按学年收取学费和住宿费。本项目设立专项经费项目，财务收支核算由学校财务处统一管理，收取的费用全部用于本项目教育教学、办学成本以及改善办学条件等的支出。</w:t>
      </w:r>
    </w:p>
    <w:p w14:paraId="54EF193D">
      <w:pPr>
        <w:pStyle w:val="2"/>
        <w:kinsoku/>
        <w:spacing w:before="0" w:line="360" w:lineRule="auto"/>
        <w:rPr>
          <w:snapToGrid/>
          <w:lang w:eastAsia="zh-CN"/>
        </w:rPr>
      </w:pPr>
      <w:r>
        <w:rPr>
          <w:rFonts w:hint="eastAsia"/>
          <w:snapToGrid/>
          <w:lang w:eastAsia="zh-CN"/>
        </w:rPr>
        <w:t>六、组织管理情况</w:t>
      </w:r>
    </w:p>
    <w:p w14:paraId="71BD55F5">
      <w:pPr>
        <w:pStyle w:val="3"/>
        <w:kinsoku/>
        <w:spacing w:before="0" w:after="0" w:line="360" w:lineRule="auto"/>
        <w:ind w:firstLine="641"/>
        <w:rPr>
          <w:rFonts w:ascii="方正仿宋_GB2312" w:hAnsi="方正仿宋_GB2312" w:cs="方正仿宋_GB2312"/>
          <w:szCs w:val="32"/>
          <w:lang w:eastAsia="zh-CN"/>
        </w:rPr>
      </w:pPr>
      <w:r>
        <w:rPr>
          <w:rFonts w:hint="eastAsia" w:ascii="方正楷体_GB2312" w:hAnsi="方正楷体_GB2312" w:eastAsia="方正楷体_GB2312" w:cs="方正楷体_GB2312"/>
          <w:szCs w:val="32"/>
          <w:lang w:eastAsia="zh-CN"/>
        </w:rPr>
        <w:t>（一）双方联合管理体制机制运行情况</w:t>
      </w:r>
    </w:p>
    <w:p w14:paraId="2DEB90B4">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项目实行中外双方共同管理、学校职能部门协同执行的运行机制。联合管理委员会和专业教学委员会分别承担统筹决策与教学协同职责，国际交流与合作处、教务处、招生就业处、质量评估处、财务处按分工参与，计算机与人工智能学院负责培养方案、师资与课程、教学运行、资源建设和项目评估等具体工作。管理事项依《湖北第二师范学院中外合作办学项目管理办法（试行）》《本科学生赴国（境）外交流学习管理办法》等制度执行，日常运行总体平稳。</w:t>
      </w:r>
    </w:p>
    <w:p w14:paraId="0F56EE82">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（二）制度建设管理情况</w:t>
      </w:r>
    </w:p>
    <w:p w14:paraId="145DCE7E">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项目以联合管理委员会为决策核心，坚持招生、教学、毕业和日常管理一致性。学院负责党建与意识形态、培养方案与教学组织、学生与学籍管理、外籍教师协调、项目评估和年度报告、学生境外交流、师资研修及档案管理等工作。2025年6月新西兰南方理工学院代表团来访期间，双方围绕人工智能、大数据安全等课程学分互认和联合实验室建设开展会商。项目将OBE理念和工程教育认证要求融入质量管理，对引进课程开展能力对标和大纲审核，并推进PBL教材本土化及国际化师资培养。管理团队做好教学进度、学籍、外事和资源调度沟通，保障双方工作衔接。</w:t>
      </w:r>
    </w:p>
    <w:p w14:paraId="1A4F3AB5">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（三）管理团队（服务）情况</w:t>
      </w:r>
    </w:p>
    <w:p w14:paraId="19481666">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学院对外方提供的原版教材、辅助读物和多媒体课件实行“初审、复审、终审”，并通过听课、课程评价等方式加强教学过程监控。中外双方每年召开工作会议，研讨招生、教学质量、教师研修、学生留学、培养方案修订、年度评估和深化合作等事项；同时通过新生开学典礼、专业授勋仪式和家长会等加强中外及家校沟通，形成事前审核、过程监控和协同反馈机制。</w:t>
      </w:r>
    </w:p>
    <w:p w14:paraId="13F76C7B">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（四）推动就业情况</w:t>
      </w:r>
    </w:p>
    <w:p w14:paraId="46220416">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学院通过就业指导课程、辅导员就业能力提升、专场招聘、就业动员和经验交流等方式推进毕业生就业。项目学生依托“专业+英语”培养优势进入IT、金融及高新技术企业，用人单位对毕业生专业素养、工程实践和跨文化协作能力总体评价较好，满意度为94.8%。学院还利用数字化治理平台和真实项目为学生提供实践机会，强化全英文技术资料阅读、团队协作和工程任务执行能力，促进专业学习与岗位需求衔接。</w:t>
      </w:r>
    </w:p>
    <w:p w14:paraId="7B1511D4">
      <w:pPr>
        <w:pStyle w:val="3"/>
        <w:kinsoku/>
        <w:spacing w:before="0" w:after="0" w:line="360" w:lineRule="auto"/>
        <w:ind w:firstLine="641"/>
        <w:rPr>
          <w:rFonts w:ascii="方正楷体_GB2312" w:hAnsi="方正楷体_GB2312" w:eastAsia="方正楷体_GB2312" w:cs="方正楷体_GB2312"/>
          <w:szCs w:val="32"/>
          <w:lang w:eastAsia="zh-CN"/>
        </w:rPr>
      </w:pPr>
      <w:r>
        <w:rPr>
          <w:rFonts w:hint="eastAsia" w:ascii="方正楷体_GB2312" w:hAnsi="方正楷体_GB2312" w:eastAsia="方正楷体_GB2312" w:cs="方正楷体_GB2312"/>
          <w:szCs w:val="32"/>
          <w:lang w:eastAsia="zh-CN"/>
        </w:rPr>
        <w:t>（五）薄弱环节及下步举措</w:t>
      </w:r>
    </w:p>
    <w:p w14:paraId="5321DA47">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目前薄弱环节主要包括前沿实验资源、国际化师资比例和学生海外交流参与度仍需提升。下一步拟加强与外方高校及光谷企业在人工智能等方向的实验资源共享，优化学分互认和前沿课程引进，推进中外教师联合教研与互访，并通过专项奖助学金等方式提高学生参加海外游学和跨文化交流的积极性。</w:t>
      </w:r>
    </w:p>
    <w:p w14:paraId="3C0DED0B">
      <w:pPr>
        <w:pStyle w:val="2"/>
        <w:kinsoku/>
        <w:spacing w:before="0" w:line="360" w:lineRule="auto"/>
        <w:rPr>
          <w:rFonts w:ascii="黑体" w:hAnsi="黑体" w:cs="黑体"/>
          <w:snapToGrid/>
          <w:lang w:eastAsia="zh-CN"/>
        </w:rPr>
      </w:pPr>
      <w:r>
        <w:rPr>
          <w:rFonts w:hint="eastAsia" w:ascii="黑体" w:hAnsi="黑体" w:cs="黑体"/>
          <w:snapToGrid/>
          <w:lang w:eastAsia="zh-CN"/>
        </w:rPr>
        <w:t>七、依法办学及办学规范性情况</w:t>
      </w:r>
    </w:p>
    <w:p w14:paraId="749D31BA">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学校始终坚持依法、规范办学，严格遵守《中华人民共和国中外合作办学条例》及实施办法等规定，将项目纳入校级质量管理和监督体系，对审批、招生、课程、师资、教材和证书等实施全过程管理。</w:t>
      </w:r>
    </w:p>
    <w:p w14:paraId="24FA2F10">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项目招生严格执行核准计划和录取政策，未出现超规模招生；未擅自变更外方合作机构和培养模式；招生录取及人才培养核心环节均由学校组织实施，无中介机构参与；境外教材按规定履行审核程序，无违规使用情况。学生学籍、毕业和学位资格按学校制度及合作协议审定，文凭证书与审批和招生宣传承诺一致。项目持续接受教育主管部门年度检查和评估，运行总体规范。</w:t>
      </w:r>
    </w:p>
    <w:p w14:paraId="30EF0B14">
      <w:pPr>
        <w:pStyle w:val="2"/>
        <w:kinsoku/>
        <w:spacing w:before="0" w:line="360" w:lineRule="auto"/>
        <w:rPr>
          <w:rFonts w:ascii="黑体" w:hAnsi="黑体" w:cs="黑体"/>
          <w:snapToGrid/>
          <w:lang w:eastAsia="zh-CN"/>
        </w:rPr>
      </w:pPr>
      <w:r>
        <w:rPr>
          <w:rFonts w:hint="eastAsia" w:ascii="黑体" w:hAnsi="黑体" w:cs="黑体"/>
          <w:snapToGrid/>
          <w:lang w:eastAsia="zh-CN"/>
        </w:rPr>
        <w:t>八、合作办学辐射成果</w:t>
      </w:r>
    </w:p>
    <w:p w14:paraId="37F50015">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本项目持续发挥中外合作办学对专业建设、师资发展和国际交流的辐射带动作用，合作重点由课程引进和师生互访逐步拓展至联合教研、资源共享和实践合作。外方通过教师来校授课、开展公开课和学术讲座、共享课程资源、接收中方师生研修交流等方式，对我校计算机类专业教学改革及中新教育人文交流形成持续带动。</w:t>
      </w:r>
    </w:p>
    <w:p w14:paraId="2CB58D58">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中外双方建立课程负责人对接机制，围绕人工智能、数据科学、软件工程等方向开展联合教研，协商课程衔接、实验内容、考核标准和学分互认。外方教师来校期间面向师生开展公开课和学术讲座；中方教师赴新西兰南方理工学院研修后，将课堂组织、实践任务设计和批判性思维训练等经验用于课程与实验教学改进。学生通过赴新西兰游学、学习报告和经验分享促进项目内部交流，我校教师还带领中外学生参加“APEC深圳——与AI同行”等国际青年活动。相关教学经验通过院内交流、课程案例更新和实验教学改进向其他计算机类课程延伸，进一步扩大合作项目对专业建设、师生国际交流和学校国际化办学的带动作用。</w:t>
      </w:r>
    </w:p>
    <w:p w14:paraId="5DE5AE96">
      <w:pPr>
        <w:pStyle w:val="2"/>
        <w:kinsoku/>
        <w:spacing w:before="0" w:line="360" w:lineRule="auto"/>
        <w:rPr>
          <w:rFonts w:ascii="黑体" w:hAnsi="黑体" w:cs="黑体"/>
          <w:snapToGrid/>
          <w:lang w:eastAsia="zh-CN"/>
        </w:rPr>
      </w:pPr>
      <w:r>
        <w:rPr>
          <w:rFonts w:hint="eastAsia" w:ascii="黑体" w:hAnsi="黑体" w:cs="黑体"/>
          <w:snapToGrid/>
          <w:lang w:eastAsia="zh-CN"/>
        </w:rPr>
        <w:t>九、形势分析及应对措施</w:t>
      </w:r>
    </w:p>
    <w:p w14:paraId="59BB5B44">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当前项目主要面临四方面风险：国际航班、签证、汇率和预算变化影响师生交流；课程引进、外方教师授课和学位条件监管更细；生成式人工智能、大模型、数据安全与伦理等技术更新快，课程教材和实验平台需及时更新；计算机类专业招生竞争加剧，考生和家长更加关注培养质量、学位获得及升学就业成效。</w:t>
      </w:r>
    </w:p>
    <w:p w14:paraId="22870FF4">
      <w:pPr>
        <w:widowControl w:val="0"/>
        <w:kinsoku/>
        <w:spacing w:line="360" w:lineRule="auto"/>
        <w:ind w:firstLine="640"/>
        <w:rPr>
          <w:rFonts w:ascii="仿宋_GB2312" w:eastAsia="仿宋_GB2312"/>
          <w:szCs w:val="32"/>
          <w:lang w:eastAsia="zh-CN"/>
        </w:rPr>
      </w:pPr>
      <w:r>
        <w:rPr>
          <w:rFonts w:hint="eastAsia" w:ascii="仿宋_GB2312" w:eastAsia="仿宋_GB2312"/>
          <w:szCs w:val="32"/>
          <w:lang w:eastAsia="zh-CN"/>
        </w:rPr>
        <w:t>项目将加强年度课程联合审议，通过讲座、实验和企业案例及时更新人工智能、数据安全、软件工程等内容；提前落实外方教师派遣计划，完善线上授课和中方协助等备用方案，持续开展联合备课和跟课培训；依托校企合作让企业工程师参与毕业设计、实训和课程教学，并按升学、就业、出国分类指导。同步跟踪毕业生、竞赛和国际交流成效，用年度数据改进培养方案、职业指导和招生说明。</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786" w:bottom="1440" w:left="1786" w:header="851" w:footer="9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4400D8-75D4-4F9C-996D-F8D59178AE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altName w:val="仿宋"/>
    <w:panose1 w:val="00000000000000000000"/>
    <w:charset w:val="86"/>
    <w:family w:val="auto"/>
    <w:pitch w:val="default"/>
    <w:sig w:usb0="00000000" w:usb1="00000000" w:usb2="00000012" w:usb3="00000000" w:csb0="00040001" w:csb1="00000000"/>
    <w:embedRegular r:id="rId2" w:fontKey="{04D27C0E-950C-4039-B072-F6D8C09FC93B}"/>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3" w:fontKey="{C8E8F2A8-0B9B-4A4D-99FF-17193F8430A9}"/>
  </w:font>
  <w:font w:name="方正小标宋简体">
    <w:panose1 w:val="02000000000000000000"/>
    <w:charset w:val="86"/>
    <w:family w:val="script"/>
    <w:pitch w:val="default"/>
    <w:sig w:usb0="00000001" w:usb1="080E0000" w:usb2="00000000" w:usb3="00000000" w:csb0="00040000" w:csb1="00000000"/>
    <w:embedRegular r:id="rId4" w:fontKey="{6BB5C14A-3CF5-4619-A354-1EBE5D4644CF}"/>
  </w:font>
  <w:font w:name="方正楷体_GB2312">
    <w:panose1 w:val="02000000000000000000"/>
    <w:charset w:val="86"/>
    <w:family w:val="auto"/>
    <w:pitch w:val="default"/>
    <w:sig w:usb0="A00002BF" w:usb1="184F6CFA" w:usb2="00000012" w:usb3="00000000" w:csb0="00040001" w:csb1="00000000"/>
    <w:embedRegular r:id="rId5" w:fontKey="{C0CF5797-1BBE-40E5-B1F7-ABC5D8580E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57A1D">
    <w:pPr>
      <w:pStyle w:val="8"/>
      <w:ind w:firstLine="420"/>
      <w:jc w:val="center"/>
      <w:rPr>
        <w:sz w:val="21"/>
        <w:lang w:eastAsia="zh-CN"/>
      </w:rPr>
    </w:pPr>
    <w:r>
      <w:rPr>
        <w:rFonts w:ascii="Times New Roman" w:hAnsi="Times New Roman" w:cs="Times New Roman"/>
        <w:sz w:val="21"/>
      </w:rPr>
      <w:fldChar w:fldCharType="begin"/>
    </w:r>
    <w:r>
      <w:rPr>
        <w:rFonts w:ascii="Times New Roman" w:hAnsi="Times New Roman" w:cs="Times New Roman"/>
        <w:sz w:val="21"/>
      </w:rPr>
      <w:instrText xml:space="preserve">PAGE   \* MERGEFORMAT</w:instrText>
    </w:r>
    <w:r>
      <w:rPr>
        <w:rFonts w:ascii="Times New Roman" w:hAnsi="Times New Roman" w:cs="Times New Roman"/>
        <w:sz w:val="21"/>
      </w:rPr>
      <w:fldChar w:fldCharType="separate"/>
    </w:r>
    <w:r>
      <w:rPr>
        <w:rFonts w:ascii="Times New Roman" w:hAnsi="Times New Roman" w:cs="Times New Roman"/>
        <w:sz w:val="21"/>
        <w:lang w:val="zh-CN" w:eastAsia="zh-CN"/>
      </w:rPr>
      <w:t>13</w:t>
    </w:r>
    <w:r>
      <w:rPr>
        <w:rFonts w:ascii="Times New Roman" w:hAnsi="Times New Roman" w:cs="Times New Roman"/>
        <w:sz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CDDBC">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C8096">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2F86E">
    <w:pPr>
      <w:pStyle w:val="9"/>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3170D">
    <w:pPr>
      <w:pStyle w:val="9"/>
      <w:ind w:firstLine="37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9149E">
    <w:pPr>
      <w:pStyle w:val="9"/>
      <w:ind w:firstLine="37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isplayHorizontalDrawingGridEvery w:val="0"/>
  <w:displayVerticalDrawingGridEvery w:val="2"/>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097"/>
    <w:rsid w:val="00000D75"/>
    <w:rsid w:val="00004AD1"/>
    <w:rsid w:val="0002068A"/>
    <w:rsid w:val="00026F0C"/>
    <w:rsid w:val="00043E1F"/>
    <w:rsid w:val="00044238"/>
    <w:rsid w:val="00066204"/>
    <w:rsid w:val="0007386B"/>
    <w:rsid w:val="000A5435"/>
    <w:rsid w:val="000F11E2"/>
    <w:rsid w:val="000F1D3A"/>
    <w:rsid w:val="0011496D"/>
    <w:rsid w:val="00130E34"/>
    <w:rsid w:val="00130FB2"/>
    <w:rsid w:val="00140E3A"/>
    <w:rsid w:val="00155F5F"/>
    <w:rsid w:val="00181F65"/>
    <w:rsid w:val="0019125A"/>
    <w:rsid w:val="001A4C2A"/>
    <w:rsid w:val="001A5093"/>
    <w:rsid w:val="001C513B"/>
    <w:rsid w:val="001D2AEB"/>
    <w:rsid w:val="001F1C89"/>
    <w:rsid w:val="001F4FC5"/>
    <w:rsid w:val="002011AF"/>
    <w:rsid w:val="0020226C"/>
    <w:rsid w:val="00232B5A"/>
    <w:rsid w:val="002427DC"/>
    <w:rsid w:val="002432A8"/>
    <w:rsid w:val="00277216"/>
    <w:rsid w:val="0027797F"/>
    <w:rsid w:val="00277B71"/>
    <w:rsid w:val="002B02B5"/>
    <w:rsid w:val="002D486B"/>
    <w:rsid w:val="002D6928"/>
    <w:rsid w:val="002D763A"/>
    <w:rsid w:val="002E344A"/>
    <w:rsid w:val="002F6D95"/>
    <w:rsid w:val="00303DFC"/>
    <w:rsid w:val="00372156"/>
    <w:rsid w:val="00376332"/>
    <w:rsid w:val="0038179F"/>
    <w:rsid w:val="003B6B64"/>
    <w:rsid w:val="003D24A6"/>
    <w:rsid w:val="003E0DD3"/>
    <w:rsid w:val="003E3BA6"/>
    <w:rsid w:val="00420079"/>
    <w:rsid w:val="0044604A"/>
    <w:rsid w:val="00462525"/>
    <w:rsid w:val="00465428"/>
    <w:rsid w:val="004947B3"/>
    <w:rsid w:val="004C4481"/>
    <w:rsid w:val="004D447F"/>
    <w:rsid w:val="004E495A"/>
    <w:rsid w:val="004E669E"/>
    <w:rsid w:val="004F239F"/>
    <w:rsid w:val="00521043"/>
    <w:rsid w:val="0052787D"/>
    <w:rsid w:val="00533A9A"/>
    <w:rsid w:val="00554C1C"/>
    <w:rsid w:val="0056555C"/>
    <w:rsid w:val="00566E40"/>
    <w:rsid w:val="005862C1"/>
    <w:rsid w:val="00593922"/>
    <w:rsid w:val="005A41F3"/>
    <w:rsid w:val="005B7C74"/>
    <w:rsid w:val="005C0700"/>
    <w:rsid w:val="005C1F6C"/>
    <w:rsid w:val="005D60D5"/>
    <w:rsid w:val="005E73D0"/>
    <w:rsid w:val="006016DB"/>
    <w:rsid w:val="00605D5E"/>
    <w:rsid w:val="00611679"/>
    <w:rsid w:val="006123C2"/>
    <w:rsid w:val="00620CC9"/>
    <w:rsid w:val="006210A0"/>
    <w:rsid w:val="00647E2F"/>
    <w:rsid w:val="00655D24"/>
    <w:rsid w:val="00657E9C"/>
    <w:rsid w:val="0066633C"/>
    <w:rsid w:val="0067313A"/>
    <w:rsid w:val="0068506D"/>
    <w:rsid w:val="00686D51"/>
    <w:rsid w:val="006A595B"/>
    <w:rsid w:val="006A7912"/>
    <w:rsid w:val="006B0328"/>
    <w:rsid w:val="006C6EC8"/>
    <w:rsid w:val="006E5803"/>
    <w:rsid w:val="007159F8"/>
    <w:rsid w:val="0072066E"/>
    <w:rsid w:val="00730F49"/>
    <w:rsid w:val="00750E8B"/>
    <w:rsid w:val="0075224C"/>
    <w:rsid w:val="0076496A"/>
    <w:rsid w:val="0077667F"/>
    <w:rsid w:val="00797C0A"/>
    <w:rsid w:val="007D2E1B"/>
    <w:rsid w:val="007D6471"/>
    <w:rsid w:val="00804B6C"/>
    <w:rsid w:val="0080786B"/>
    <w:rsid w:val="00831995"/>
    <w:rsid w:val="0084525B"/>
    <w:rsid w:val="00846BB6"/>
    <w:rsid w:val="008849CA"/>
    <w:rsid w:val="00887725"/>
    <w:rsid w:val="00891BD2"/>
    <w:rsid w:val="00895358"/>
    <w:rsid w:val="0089559E"/>
    <w:rsid w:val="00896663"/>
    <w:rsid w:val="008A7DA3"/>
    <w:rsid w:val="008C0BB3"/>
    <w:rsid w:val="008D4391"/>
    <w:rsid w:val="008D5238"/>
    <w:rsid w:val="008E478B"/>
    <w:rsid w:val="008F4574"/>
    <w:rsid w:val="00921FD0"/>
    <w:rsid w:val="0092407D"/>
    <w:rsid w:val="009369AA"/>
    <w:rsid w:val="00941097"/>
    <w:rsid w:val="00945654"/>
    <w:rsid w:val="00953818"/>
    <w:rsid w:val="00994809"/>
    <w:rsid w:val="00997EF7"/>
    <w:rsid w:val="009A08E7"/>
    <w:rsid w:val="009B2B7B"/>
    <w:rsid w:val="009B2D6E"/>
    <w:rsid w:val="009C50DF"/>
    <w:rsid w:val="009E38A2"/>
    <w:rsid w:val="009F4B64"/>
    <w:rsid w:val="00A0552D"/>
    <w:rsid w:val="00A1006C"/>
    <w:rsid w:val="00A22D1E"/>
    <w:rsid w:val="00A34C64"/>
    <w:rsid w:val="00A36954"/>
    <w:rsid w:val="00A46268"/>
    <w:rsid w:val="00A47062"/>
    <w:rsid w:val="00A52D7D"/>
    <w:rsid w:val="00A60D2A"/>
    <w:rsid w:val="00AA5BD1"/>
    <w:rsid w:val="00AB01D8"/>
    <w:rsid w:val="00AB23BD"/>
    <w:rsid w:val="00AB53B9"/>
    <w:rsid w:val="00AD203E"/>
    <w:rsid w:val="00AD5DD5"/>
    <w:rsid w:val="00AF062F"/>
    <w:rsid w:val="00B110A3"/>
    <w:rsid w:val="00B149D4"/>
    <w:rsid w:val="00B17F9A"/>
    <w:rsid w:val="00B233FA"/>
    <w:rsid w:val="00B31E4A"/>
    <w:rsid w:val="00B34D82"/>
    <w:rsid w:val="00B510C3"/>
    <w:rsid w:val="00B5646B"/>
    <w:rsid w:val="00B626D3"/>
    <w:rsid w:val="00B6421B"/>
    <w:rsid w:val="00BA1076"/>
    <w:rsid w:val="00BA2384"/>
    <w:rsid w:val="00BA3BCF"/>
    <w:rsid w:val="00BC3D42"/>
    <w:rsid w:val="00BC75FF"/>
    <w:rsid w:val="00BE0247"/>
    <w:rsid w:val="00BE39CD"/>
    <w:rsid w:val="00BF00E6"/>
    <w:rsid w:val="00BF55F5"/>
    <w:rsid w:val="00BF672B"/>
    <w:rsid w:val="00BF7275"/>
    <w:rsid w:val="00C029B9"/>
    <w:rsid w:val="00C02A78"/>
    <w:rsid w:val="00C13982"/>
    <w:rsid w:val="00C203C9"/>
    <w:rsid w:val="00C27623"/>
    <w:rsid w:val="00C320AC"/>
    <w:rsid w:val="00C321E0"/>
    <w:rsid w:val="00C400AA"/>
    <w:rsid w:val="00C44476"/>
    <w:rsid w:val="00C53A99"/>
    <w:rsid w:val="00C61C3F"/>
    <w:rsid w:val="00C63BCA"/>
    <w:rsid w:val="00C93CAE"/>
    <w:rsid w:val="00CA3EF1"/>
    <w:rsid w:val="00CD31F8"/>
    <w:rsid w:val="00CE2730"/>
    <w:rsid w:val="00CF2575"/>
    <w:rsid w:val="00CF71E5"/>
    <w:rsid w:val="00D738CC"/>
    <w:rsid w:val="00DA767D"/>
    <w:rsid w:val="00DB62C2"/>
    <w:rsid w:val="00DB712C"/>
    <w:rsid w:val="00DB7175"/>
    <w:rsid w:val="00DC1673"/>
    <w:rsid w:val="00DD115E"/>
    <w:rsid w:val="00DD2883"/>
    <w:rsid w:val="00DD7638"/>
    <w:rsid w:val="00DE6DFB"/>
    <w:rsid w:val="00DF4CFA"/>
    <w:rsid w:val="00E060CA"/>
    <w:rsid w:val="00E22749"/>
    <w:rsid w:val="00E27205"/>
    <w:rsid w:val="00E351E5"/>
    <w:rsid w:val="00E4216E"/>
    <w:rsid w:val="00E45D6F"/>
    <w:rsid w:val="00E477DD"/>
    <w:rsid w:val="00E55D4A"/>
    <w:rsid w:val="00E56825"/>
    <w:rsid w:val="00E6597A"/>
    <w:rsid w:val="00E667BB"/>
    <w:rsid w:val="00E9138D"/>
    <w:rsid w:val="00EA2EAC"/>
    <w:rsid w:val="00EA5208"/>
    <w:rsid w:val="00EB272E"/>
    <w:rsid w:val="00EB3E2B"/>
    <w:rsid w:val="00ED09CA"/>
    <w:rsid w:val="00ED3638"/>
    <w:rsid w:val="00EE6FA5"/>
    <w:rsid w:val="00EF6340"/>
    <w:rsid w:val="00F038C9"/>
    <w:rsid w:val="00F078CB"/>
    <w:rsid w:val="00F22072"/>
    <w:rsid w:val="00F608E6"/>
    <w:rsid w:val="00F93F02"/>
    <w:rsid w:val="00F94BAE"/>
    <w:rsid w:val="00FC4E4E"/>
    <w:rsid w:val="00FD3B9B"/>
    <w:rsid w:val="014F5F03"/>
    <w:rsid w:val="01CB35C4"/>
    <w:rsid w:val="01CC7C92"/>
    <w:rsid w:val="033A59B7"/>
    <w:rsid w:val="036068E4"/>
    <w:rsid w:val="037C0842"/>
    <w:rsid w:val="040A4AA1"/>
    <w:rsid w:val="04AE4D78"/>
    <w:rsid w:val="06F07F7E"/>
    <w:rsid w:val="07911761"/>
    <w:rsid w:val="082223BA"/>
    <w:rsid w:val="099B3D9B"/>
    <w:rsid w:val="0A434869"/>
    <w:rsid w:val="0C873133"/>
    <w:rsid w:val="0CF91B9B"/>
    <w:rsid w:val="0CFD1647"/>
    <w:rsid w:val="0D484AD0"/>
    <w:rsid w:val="0DA466A2"/>
    <w:rsid w:val="0E572FD9"/>
    <w:rsid w:val="0EBE6BB4"/>
    <w:rsid w:val="0FAB538A"/>
    <w:rsid w:val="100D0E21"/>
    <w:rsid w:val="10437371"/>
    <w:rsid w:val="105E41AB"/>
    <w:rsid w:val="106612B1"/>
    <w:rsid w:val="108F25B6"/>
    <w:rsid w:val="114C3FD8"/>
    <w:rsid w:val="11D02E86"/>
    <w:rsid w:val="124F6814"/>
    <w:rsid w:val="13511DA5"/>
    <w:rsid w:val="135E3DE9"/>
    <w:rsid w:val="137D2B9A"/>
    <w:rsid w:val="13D23411"/>
    <w:rsid w:val="152D6842"/>
    <w:rsid w:val="156B6B5D"/>
    <w:rsid w:val="158E72E0"/>
    <w:rsid w:val="16070E41"/>
    <w:rsid w:val="164717FA"/>
    <w:rsid w:val="16491459"/>
    <w:rsid w:val="16BC1C2B"/>
    <w:rsid w:val="16CE2D28"/>
    <w:rsid w:val="17A70B2D"/>
    <w:rsid w:val="17EF4A51"/>
    <w:rsid w:val="18FC422D"/>
    <w:rsid w:val="1A78700C"/>
    <w:rsid w:val="1A9B520E"/>
    <w:rsid w:val="1A9D6217"/>
    <w:rsid w:val="1ABD1BE3"/>
    <w:rsid w:val="1AF75928"/>
    <w:rsid w:val="1B7FE62F"/>
    <w:rsid w:val="1BBE7142"/>
    <w:rsid w:val="1CC13002"/>
    <w:rsid w:val="1CEE9F82"/>
    <w:rsid w:val="1CFA525B"/>
    <w:rsid w:val="1D0E53D0"/>
    <w:rsid w:val="1EAB3166"/>
    <w:rsid w:val="1F654195"/>
    <w:rsid w:val="1F7808BB"/>
    <w:rsid w:val="219D08AB"/>
    <w:rsid w:val="2245454D"/>
    <w:rsid w:val="23921A7C"/>
    <w:rsid w:val="23C90010"/>
    <w:rsid w:val="249200C7"/>
    <w:rsid w:val="24AA30B5"/>
    <w:rsid w:val="24B623B0"/>
    <w:rsid w:val="253C1EDA"/>
    <w:rsid w:val="258778A8"/>
    <w:rsid w:val="261F5D33"/>
    <w:rsid w:val="26500840"/>
    <w:rsid w:val="27DD399B"/>
    <w:rsid w:val="28E05A89"/>
    <w:rsid w:val="29FEBB90"/>
    <w:rsid w:val="2A86034E"/>
    <w:rsid w:val="2B34402E"/>
    <w:rsid w:val="2B6366C1"/>
    <w:rsid w:val="2B77E071"/>
    <w:rsid w:val="2C08790F"/>
    <w:rsid w:val="2C701096"/>
    <w:rsid w:val="2C8563D4"/>
    <w:rsid w:val="2CCF2588"/>
    <w:rsid w:val="2CEA709A"/>
    <w:rsid w:val="2D6BED09"/>
    <w:rsid w:val="2E5355E2"/>
    <w:rsid w:val="2E5642BC"/>
    <w:rsid w:val="2E7A444E"/>
    <w:rsid w:val="2FBFC893"/>
    <w:rsid w:val="2FBFC97C"/>
    <w:rsid w:val="2FFB0614"/>
    <w:rsid w:val="31F938DC"/>
    <w:rsid w:val="32234AF0"/>
    <w:rsid w:val="322F37A1"/>
    <w:rsid w:val="32930C73"/>
    <w:rsid w:val="344A4AB1"/>
    <w:rsid w:val="34A72173"/>
    <w:rsid w:val="34D66156"/>
    <w:rsid w:val="35E148F9"/>
    <w:rsid w:val="35F22B44"/>
    <w:rsid w:val="36062A6B"/>
    <w:rsid w:val="363E6985"/>
    <w:rsid w:val="367C4ADB"/>
    <w:rsid w:val="36CC15BF"/>
    <w:rsid w:val="37BA58BB"/>
    <w:rsid w:val="384A16D2"/>
    <w:rsid w:val="386878D3"/>
    <w:rsid w:val="38B14F10"/>
    <w:rsid w:val="38CC58A6"/>
    <w:rsid w:val="38CF6BE5"/>
    <w:rsid w:val="39FEF73E"/>
    <w:rsid w:val="3A027A34"/>
    <w:rsid w:val="3A1C7A26"/>
    <w:rsid w:val="3A361B71"/>
    <w:rsid w:val="3A711DFA"/>
    <w:rsid w:val="3AF929F7"/>
    <w:rsid w:val="3B190B4B"/>
    <w:rsid w:val="3C0E39E3"/>
    <w:rsid w:val="3C1C0EAD"/>
    <w:rsid w:val="3CCD6091"/>
    <w:rsid w:val="3CFD6976"/>
    <w:rsid w:val="3D7DEC47"/>
    <w:rsid w:val="3DA86C9B"/>
    <w:rsid w:val="3DD35929"/>
    <w:rsid w:val="3E35446A"/>
    <w:rsid w:val="3E391C30"/>
    <w:rsid w:val="3EB84049"/>
    <w:rsid w:val="3EFEB5C3"/>
    <w:rsid w:val="3F3FDD8C"/>
    <w:rsid w:val="3F990435"/>
    <w:rsid w:val="3F9F09F7"/>
    <w:rsid w:val="3FEB43C0"/>
    <w:rsid w:val="3FEF02D1"/>
    <w:rsid w:val="3FF72255"/>
    <w:rsid w:val="3FFF59AC"/>
    <w:rsid w:val="3FFF6732"/>
    <w:rsid w:val="3FFF7F5E"/>
    <w:rsid w:val="40ED6EC2"/>
    <w:rsid w:val="428E62C2"/>
    <w:rsid w:val="430B6AB6"/>
    <w:rsid w:val="43E47415"/>
    <w:rsid w:val="44DC0A7B"/>
    <w:rsid w:val="44FA3CB5"/>
    <w:rsid w:val="45462E84"/>
    <w:rsid w:val="45C1538E"/>
    <w:rsid w:val="46805F22"/>
    <w:rsid w:val="46F52D95"/>
    <w:rsid w:val="475573AE"/>
    <w:rsid w:val="479357EB"/>
    <w:rsid w:val="47CD3212"/>
    <w:rsid w:val="483376F0"/>
    <w:rsid w:val="483B54FD"/>
    <w:rsid w:val="48E47BF4"/>
    <w:rsid w:val="49323B1A"/>
    <w:rsid w:val="49B358F8"/>
    <w:rsid w:val="4AA57DE6"/>
    <w:rsid w:val="4AB81802"/>
    <w:rsid w:val="4AF32BD9"/>
    <w:rsid w:val="4AFB201B"/>
    <w:rsid w:val="4B26133A"/>
    <w:rsid w:val="4B314252"/>
    <w:rsid w:val="4B8200F2"/>
    <w:rsid w:val="4D4626C8"/>
    <w:rsid w:val="4D503022"/>
    <w:rsid w:val="4DBC1F35"/>
    <w:rsid w:val="4DE419DD"/>
    <w:rsid w:val="4DE84136"/>
    <w:rsid w:val="4DF76DD0"/>
    <w:rsid w:val="4DFDAC0C"/>
    <w:rsid w:val="4EEC28DF"/>
    <w:rsid w:val="50715259"/>
    <w:rsid w:val="51A263D9"/>
    <w:rsid w:val="51AC406F"/>
    <w:rsid w:val="51FF1831"/>
    <w:rsid w:val="530F6AA0"/>
    <w:rsid w:val="534D30D0"/>
    <w:rsid w:val="53E83F91"/>
    <w:rsid w:val="54BE2A37"/>
    <w:rsid w:val="54F961C6"/>
    <w:rsid w:val="54FA712D"/>
    <w:rsid w:val="55B8D951"/>
    <w:rsid w:val="55D046D2"/>
    <w:rsid w:val="55FB467A"/>
    <w:rsid w:val="56DF6C95"/>
    <w:rsid w:val="5790570A"/>
    <w:rsid w:val="599C36DD"/>
    <w:rsid w:val="5AFF3918"/>
    <w:rsid w:val="5B865931"/>
    <w:rsid w:val="5BBF47DE"/>
    <w:rsid w:val="5BEF9252"/>
    <w:rsid w:val="5DFB30B7"/>
    <w:rsid w:val="5E287A3D"/>
    <w:rsid w:val="5F2D6EA6"/>
    <w:rsid w:val="5F2E17BD"/>
    <w:rsid w:val="5FEEFB10"/>
    <w:rsid w:val="5FF24935"/>
    <w:rsid w:val="5FFEBA27"/>
    <w:rsid w:val="608B2024"/>
    <w:rsid w:val="619E1C26"/>
    <w:rsid w:val="61AF53EE"/>
    <w:rsid w:val="61E542FC"/>
    <w:rsid w:val="63147D0D"/>
    <w:rsid w:val="633345F0"/>
    <w:rsid w:val="643D2685"/>
    <w:rsid w:val="64D35ED3"/>
    <w:rsid w:val="64F675AB"/>
    <w:rsid w:val="6652067B"/>
    <w:rsid w:val="66BC239D"/>
    <w:rsid w:val="6776E0FE"/>
    <w:rsid w:val="67EE073B"/>
    <w:rsid w:val="685A261F"/>
    <w:rsid w:val="687C2595"/>
    <w:rsid w:val="689F2FD9"/>
    <w:rsid w:val="68DB9FC8"/>
    <w:rsid w:val="69A35DAC"/>
    <w:rsid w:val="69BD188E"/>
    <w:rsid w:val="69FB817C"/>
    <w:rsid w:val="6AF64881"/>
    <w:rsid w:val="6B5E5F82"/>
    <w:rsid w:val="6B7FF09D"/>
    <w:rsid w:val="6C0A765C"/>
    <w:rsid w:val="6C4F5212"/>
    <w:rsid w:val="6CA5553F"/>
    <w:rsid w:val="6D4C5446"/>
    <w:rsid w:val="6D5DCF15"/>
    <w:rsid w:val="6D643A7F"/>
    <w:rsid w:val="6D6F272B"/>
    <w:rsid w:val="6D8A74C3"/>
    <w:rsid w:val="6DC41C0E"/>
    <w:rsid w:val="6DCD0689"/>
    <w:rsid w:val="6DDFA216"/>
    <w:rsid w:val="6E0A419F"/>
    <w:rsid w:val="6EBA963B"/>
    <w:rsid w:val="6FB52D3B"/>
    <w:rsid w:val="6FDFF39F"/>
    <w:rsid w:val="6FFE3CE6"/>
    <w:rsid w:val="70912956"/>
    <w:rsid w:val="70B45F31"/>
    <w:rsid w:val="70C95BA5"/>
    <w:rsid w:val="72A21FE6"/>
    <w:rsid w:val="73722F12"/>
    <w:rsid w:val="73852BD4"/>
    <w:rsid w:val="73E6850D"/>
    <w:rsid w:val="74A569D0"/>
    <w:rsid w:val="74A72748"/>
    <w:rsid w:val="74B12641"/>
    <w:rsid w:val="751F6782"/>
    <w:rsid w:val="75372588"/>
    <w:rsid w:val="756C0B14"/>
    <w:rsid w:val="75EB6CCF"/>
    <w:rsid w:val="76D46EC1"/>
    <w:rsid w:val="76DC2E08"/>
    <w:rsid w:val="770E6AAE"/>
    <w:rsid w:val="774056AA"/>
    <w:rsid w:val="7773AE22"/>
    <w:rsid w:val="77EF163F"/>
    <w:rsid w:val="784D2DD8"/>
    <w:rsid w:val="78E86116"/>
    <w:rsid w:val="7A522855"/>
    <w:rsid w:val="7A5DC123"/>
    <w:rsid w:val="7A990D85"/>
    <w:rsid w:val="7AFF0585"/>
    <w:rsid w:val="7BB175A8"/>
    <w:rsid w:val="7BDF4FBE"/>
    <w:rsid w:val="7BF65753"/>
    <w:rsid w:val="7C08168C"/>
    <w:rsid w:val="7C5321A4"/>
    <w:rsid w:val="7C75137E"/>
    <w:rsid w:val="7C7EEE1C"/>
    <w:rsid w:val="7CA35469"/>
    <w:rsid w:val="7CB75805"/>
    <w:rsid w:val="7CFE2EA4"/>
    <w:rsid w:val="7D2C4132"/>
    <w:rsid w:val="7D4F5BAC"/>
    <w:rsid w:val="7D5B03D6"/>
    <w:rsid w:val="7D7186F4"/>
    <w:rsid w:val="7D7F9F1D"/>
    <w:rsid w:val="7D8B7890"/>
    <w:rsid w:val="7D9050C0"/>
    <w:rsid w:val="7D9F1B8F"/>
    <w:rsid w:val="7DEFA720"/>
    <w:rsid w:val="7DEFF0B1"/>
    <w:rsid w:val="7DF78A48"/>
    <w:rsid w:val="7DFF88E3"/>
    <w:rsid w:val="7E12157A"/>
    <w:rsid w:val="7E125C5B"/>
    <w:rsid w:val="7EDB9646"/>
    <w:rsid w:val="7EDF2D73"/>
    <w:rsid w:val="7EDF4D87"/>
    <w:rsid w:val="7F6B52E0"/>
    <w:rsid w:val="7F6DFE35"/>
    <w:rsid w:val="7F737051"/>
    <w:rsid w:val="7F738F37"/>
    <w:rsid w:val="7FA057FB"/>
    <w:rsid w:val="7FAFA825"/>
    <w:rsid w:val="7FB670FB"/>
    <w:rsid w:val="7FBB17E7"/>
    <w:rsid w:val="7FBFFF45"/>
    <w:rsid w:val="7FDD9347"/>
    <w:rsid w:val="7FEB2F0A"/>
    <w:rsid w:val="7FF137F7"/>
    <w:rsid w:val="7FFBD1EA"/>
    <w:rsid w:val="7FFF12F7"/>
    <w:rsid w:val="7FFFF0D4"/>
    <w:rsid w:val="97EDAD60"/>
    <w:rsid w:val="A9E95DCA"/>
    <w:rsid w:val="AEDF508A"/>
    <w:rsid w:val="AFDD440C"/>
    <w:rsid w:val="AFFFFE3E"/>
    <w:rsid w:val="B37FEA23"/>
    <w:rsid w:val="B62BA255"/>
    <w:rsid w:val="B78DD260"/>
    <w:rsid w:val="B7D1DF90"/>
    <w:rsid w:val="B7DF5B09"/>
    <w:rsid w:val="BAD505D0"/>
    <w:rsid w:val="BBAE1014"/>
    <w:rsid w:val="BBBF5193"/>
    <w:rsid w:val="BD7FF7A6"/>
    <w:rsid w:val="BF3C97DE"/>
    <w:rsid w:val="C2FBBF18"/>
    <w:rsid w:val="CB4F4230"/>
    <w:rsid w:val="D30B7083"/>
    <w:rsid w:val="D68D0F08"/>
    <w:rsid w:val="D69F8FDB"/>
    <w:rsid w:val="D7A94108"/>
    <w:rsid w:val="D7EFDF3B"/>
    <w:rsid w:val="DBA716AC"/>
    <w:rsid w:val="DBB75EDC"/>
    <w:rsid w:val="DBFD9466"/>
    <w:rsid w:val="DDFB2AE6"/>
    <w:rsid w:val="DF1EA1D1"/>
    <w:rsid w:val="DFCF6690"/>
    <w:rsid w:val="DFD6CF49"/>
    <w:rsid w:val="E57F5B5B"/>
    <w:rsid w:val="E637A52F"/>
    <w:rsid w:val="E6E7AAAB"/>
    <w:rsid w:val="E7D7086F"/>
    <w:rsid w:val="EBFA6E71"/>
    <w:rsid w:val="ED537B01"/>
    <w:rsid w:val="EDDDD865"/>
    <w:rsid w:val="EDFFD36E"/>
    <w:rsid w:val="EEAF96DE"/>
    <w:rsid w:val="EEF7B71D"/>
    <w:rsid w:val="EEFD56E7"/>
    <w:rsid w:val="EF721F86"/>
    <w:rsid w:val="EF99C34B"/>
    <w:rsid w:val="EFCD18FE"/>
    <w:rsid w:val="EFFCF58C"/>
    <w:rsid w:val="EFFFF137"/>
    <w:rsid w:val="F23B1E6D"/>
    <w:rsid w:val="F5BB61B1"/>
    <w:rsid w:val="F5EC0B5C"/>
    <w:rsid w:val="F64B15CB"/>
    <w:rsid w:val="F772D5C5"/>
    <w:rsid w:val="F7B2DF63"/>
    <w:rsid w:val="F7EF6E88"/>
    <w:rsid w:val="F7F9D6AF"/>
    <w:rsid w:val="FA773C91"/>
    <w:rsid w:val="FA7F9D01"/>
    <w:rsid w:val="FAF54120"/>
    <w:rsid w:val="FB37FCA9"/>
    <w:rsid w:val="FB4CC916"/>
    <w:rsid w:val="FBC9EF11"/>
    <w:rsid w:val="FBF56A41"/>
    <w:rsid w:val="FC1B1D58"/>
    <w:rsid w:val="FCDF6FDA"/>
    <w:rsid w:val="FCDF9C2E"/>
    <w:rsid w:val="FD5F69AD"/>
    <w:rsid w:val="FD6B5F78"/>
    <w:rsid w:val="FDF7CEEF"/>
    <w:rsid w:val="FEA7C26E"/>
    <w:rsid w:val="FEE32120"/>
    <w:rsid w:val="FF1EE6FC"/>
    <w:rsid w:val="FF3D6B5C"/>
    <w:rsid w:val="FF7373C9"/>
    <w:rsid w:val="FFE5B8BE"/>
    <w:rsid w:val="FFEB9BA1"/>
    <w:rsid w:val="FFF8CB5F"/>
    <w:rsid w:val="FFFA2927"/>
    <w:rsid w:val="FFFBF1DD"/>
    <w:rsid w:val="FFFF9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ind w:firstLine="880" w:firstLineChars="200"/>
      <w:jc w:val="both"/>
      <w:textAlignment w:val="baseline"/>
    </w:pPr>
    <w:rPr>
      <w:rFonts w:ascii="Arial" w:hAnsi="Arial" w:eastAsia="方正仿宋_GB2312" w:cs="Arial"/>
      <w:snapToGrid w:val="0"/>
      <w:color w:val="000000"/>
      <w:sz w:val="32"/>
      <w:szCs w:val="21"/>
      <w:lang w:val="en-US" w:eastAsia="en-US" w:bidi="ar-SA"/>
    </w:rPr>
  </w:style>
  <w:style w:type="paragraph" w:styleId="2">
    <w:name w:val="heading 1"/>
    <w:basedOn w:val="1"/>
    <w:next w:val="1"/>
    <w:link w:val="15"/>
    <w:qFormat/>
    <w:uiPriority w:val="0"/>
    <w:pPr>
      <w:keepNext/>
      <w:keepLines/>
      <w:spacing w:before="340" w:line="336" w:lineRule="auto"/>
      <w:ind w:firstLine="640"/>
      <w:outlineLvl w:val="0"/>
    </w:pPr>
    <w:rPr>
      <w:rFonts w:ascii="Times New Roman" w:hAnsi="Times New Roman" w:eastAsia="黑体"/>
      <w:kern w:val="44"/>
    </w:rPr>
  </w:style>
  <w:style w:type="paragraph" w:styleId="3">
    <w:name w:val="heading 2"/>
    <w:basedOn w:val="1"/>
    <w:next w:val="1"/>
    <w:unhideWhenUsed/>
    <w:qFormat/>
    <w:uiPriority w:val="0"/>
    <w:pPr>
      <w:keepNext/>
      <w:keepLines/>
      <w:spacing w:before="260" w:after="260" w:line="413" w:lineRule="auto"/>
      <w:outlineLvl w:val="1"/>
    </w:pPr>
    <w:rPr>
      <w:rFonts w:eastAsia="宋体"/>
      <w:b/>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unhideWhenUsed/>
    <w:qFormat/>
    <w:uiPriority w:val="0"/>
    <w:pPr>
      <w:kinsoku/>
      <w:spacing w:line="360" w:lineRule="auto"/>
      <w:ind w:firstLine="499" w:firstLineChars="0"/>
      <w:jc w:val="center"/>
    </w:pPr>
    <w:rPr>
      <w:rFonts w:eastAsia="黑体"/>
      <w:sz w:val="24"/>
      <w:szCs w:val="24"/>
      <w:lang w:eastAsia="zh-CN"/>
    </w:rPr>
  </w:style>
  <w:style w:type="paragraph" w:styleId="5">
    <w:name w:val="annotation text"/>
    <w:basedOn w:val="1"/>
    <w:qFormat/>
    <w:uiPriority w:val="0"/>
    <w:pPr>
      <w:jc w:val="left"/>
    </w:pPr>
  </w:style>
  <w:style w:type="paragraph" w:styleId="6">
    <w:name w:val="Body Text"/>
    <w:basedOn w:val="1"/>
    <w:semiHidden/>
    <w:qFormat/>
    <w:uiPriority w:val="0"/>
    <w:rPr>
      <w:rFonts w:ascii="宋体" w:hAnsi="宋体" w:eastAsia="宋体" w:cs="宋体"/>
      <w:sz w:val="28"/>
      <w:szCs w:val="28"/>
    </w:rPr>
  </w:style>
  <w:style w:type="paragraph" w:styleId="7">
    <w:name w:val="Balloon Text"/>
    <w:basedOn w:val="1"/>
    <w:link w:val="20"/>
    <w:qFormat/>
    <w:uiPriority w:val="0"/>
    <w:rPr>
      <w:sz w:val="18"/>
      <w:szCs w:val="18"/>
    </w:rPr>
  </w:style>
  <w:style w:type="paragraph" w:styleId="8">
    <w:name w:val="footer"/>
    <w:basedOn w:val="1"/>
    <w:link w:val="16"/>
    <w:qFormat/>
    <w:uiPriority w:val="99"/>
    <w:pPr>
      <w:tabs>
        <w:tab w:val="center" w:pos="4153"/>
        <w:tab w:val="right" w:pos="8306"/>
      </w:tabs>
      <w:jc w:val="left"/>
    </w:pPr>
    <w:rPr>
      <w:rFonts w:ascii="仿宋_GB2312" w:hAnsi="仿宋_GB2312" w:eastAsia="仿宋_GB2312"/>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10">
    <w:name w:val="Normal (Web)"/>
    <w:basedOn w:val="1"/>
    <w:qFormat/>
    <w:uiPriority w:val="0"/>
    <w:pPr>
      <w:spacing w:beforeAutospacing="1" w:afterAutospacing="1"/>
      <w:jc w:val="left"/>
    </w:pPr>
    <w:rPr>
      <w:rFonts w:cs="Times New Roman"/>
      <w:sz w:val="24"/>
      <w:lang w:eastAsia="zh-CN"/>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customStyle="1" w:styleId="15">
    <w:name w:val="标题 1 字符"/>
    <w:link w:val="2"/>
    <w:qFormat/>
    <w:uiPriority w:val="0"/>
    <w:rPr>
      <w:rFonts w:eastAsia="黑体" w:cs="Arial"/>
      <w:snapToGrid w:val="0"/>
      <w:color w:val="000000"/>
      <w:kern w:val="44"/>
      <w:sz w:val="32"/>
      <w:szCs w:val="21"/>
      <w:lang w:eastAsia="en-US"/>
    </w:rPr>
  </w:style>
  <w:style w:type="character" w:customStyle="1" w:styleId="16">
    <w:name w:val="页脚 字符"/>
    <w:basedOn w:val="13"/>
    <w:link w:val="8"/>
    <w:qFormat/>
    <w:uiPriority w:val="99"/>
    <w:rPr>
      <w:rFonts w:ascii="仿宋_GB2312" w:hAnsi="仿宋_GB2312" w:eastAsia="仿宋_GB2312" w:cs="Arial"/>
      <w:snapToGrid w:val="0"/>
      <w:color w:val="000000"/>
      <w:sz w:val="18"/>
      <w:szCs w:val="21"/>
      <w:lang w:eastAsia="en-US"/>
    </w:rPr>
  </w:style>
  <w:style w:type="table" w:customStyle="1" w:styleId="17">
    <w:name w:val="Table Normal"/>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Calibri" w:hAnsi="Calibri" w:eastAsia="Calibri" w:cs="Calibri"/>
      <w:sz w:val="21"/>
    </w:rPr>
  </w:style>
  <w:style w:type="paragraph" w:styleId="19">
    <w:name w:val="List Paragraph"/>
    <w:basedOn w:val="1"/>
    <w:qFormat/>
    <w:uiPriority w:val="99"/>
    <w:pPr>
      <w:ind w:firstLine="420"/>
    </w:pPr>
  </w:style>
  <w:style w:type="character" w:customStyle="1" w:styleId="20">
    <w:name w:val="批注框文本 字符"/>
    <w:basedOn w:val="13"/>
    <w:link w:val="7"/>
    <w:qFormat/>
    <w:uiPriority w:val="0"/>
    <w:rPr>
      <w:rFonts w:ascii="Arial" w:hAnsi="Arial" w:eastAsia="方正仿宋_GB2312" w:cs="Arial"/>
      <w:snapToGrid w:val="0"/>
      <w:color w:val="00000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DoubleOX</Company>
  <Pages>17</Pages>
  <Words>8291</Words>
  <Characters>8524</Characters>
  <Lines>1</Lines>
  <Paragraphs>1</Paragraphs>
  <TotalTime>17</TotalTime>
  <ScaleCrop>false</ScaleCrop>
  <LinksUpToDate>false</LinksUpToDate>
  <CharactersWithSpaces>8524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2025-12-24T23:55:00Z</dcterms:created>
  <dc:creator>大苹果</dc:creator>
  <cp:lastModifiedBy>Administrator</cp:lastModifiedBy>
  <cp:lastPrinted>2026-09-30T03:14:10Z</cp:lastPrinted>
  <dcterms:modified xsi:type="dcterms:W3CDTF">2026-09-30T04:49:59Z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2025-12-11T22:57:00Z</vt:filetime>
  </property>
  <property fmtid="{D5CDD505-2E9C-101B-9397-08002B2CF9AE}" pid="4" name="KSOProductBuildVer">
    <vt:lpwstr>2052-12.1.0.28505</vt:lpwstr>
  </property>
  <property fmtid="{D5CDD505-2E9C-101B-9397-08002B2CF9AE}" pid="5" name="ICV">
    <vt:lpwstr>E704E20AE9194CA092AF0945EE343741_13</vt:lpwstr>
  </property>
  <property fmtid="{D5CDD505-2E9C-101B-9397-08002B2CF9AE}" pid="6" name="KSOTemplateDocerSaveRecord">
    <vt:lpwstr>eyJoZGlkIjoiYjBiM2MwNmIxY2M4OWRjNTUzM2NkYjc0ZDg0ZGMyZDEiLCJ1c2VySWQiOiI1MzM4MjkyNTAifQ==</vt:lpwstr>
  </property>
</Properties>
</file>