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13BFA" w14:textId="77777777" w:rsidR="00B943B8" w:rsidRDefault="00000000" w:rsidP="009F69A5">
      <w:pPr>
        <w:widowControl w:val="0"/>
        <w:kinsoku/>
        <w:autoSpaceDE/>
        <w:autoSpaceDN/>
        <w:spacing w:line="560" w:lineRule="exact"/>
        <w:jc w:val="center"/>
        <w:textAlignment w:val="auto"/>
        <w:rPr>
          <w:rFonts w:ascii="方正小标宋简体" w:eastAsia="方正小标宋简体" w:hAnsi="方正小标宋简体" w:cs="方正小标宋简体" w:hint="eastAsia"/>
          <w:snapToGrid/>
          <w:color w:val="auto"/>
          <w:kern w:val="2"/>
          <w:sz w:val="44"/>
          <w:szCs w:val="44"/>
          <w:lang w:eastAsia="zh-CN"/>
        </w:rPr>
      </w:pPr>
      <w:bookmarkStart w:id="0" w:name="OLE_LINK4"/>
      <w:bookmarkStart w:id="1" w:name="OLE_LINK5"/>
      <w:r>
        <w:rPr>
          <w:rFonts w:ascii="方正小标宋简体" w:eastAsia="方正小标宋简体" w:hAnsi="方正小标宋简体" w:cs="方正小标宋简体" w:hint="eastAsia"/>
          <w:snapToGrid/>
          <w:color w:val="auto"/>
          <w:kern w:val="2"/>
          <w:sz w:val="44"/>
          <w:szCs w:val="44"/>
          <w:lang w:eastAsia="zh-CN"/>
        </w:rPr>
        <w:t>湖北第二师范学院2025年度</w:t>
      </w:r>
    </w:p>
    <w:p w14:paraId="50B6A236" w14:textId="77777777" w:rsidR="00B943B8" w:rsidRDefault="00000000" w:rsidP="009F69A5">
      <w:pPr>
        <w:widowControl w:val="0"/>
        <w:kinsoku/>
        <w:autoSpaceDE/>
        <w:autoSpaceDN/>
        <w:spacing w:line="560" w:lineRule="exact"/>
        <w:jc w:val="center"/>
        <w:textAlignment w:val="auto"/>
        <w:rPr>
          <w:rFonts w:ascii="方正小标宋简体" w:eastAsia="方正小标宋简体" w:hAnsi="方正小标宋简体" w:cs="方正小标宋简体" w:hint="eastAsia"/>
          <w:snapToGrid/>
          <w:color w:val="auto"/>
          <w:kern w:val="2"/>
          <w:sz w:val="44"/>
          <w:szCs w:val="44"/>
          <w:lang w:eastAsia="zh-CN"/>
        </w:rPr>
      </w:pPr>
      <w:r>
        <w:rPr>
          <w:rFonts w:ascii="方正小标宋简体" w:eastAsia="方正小标宋简体" w:hAnsi="方正小标宋简体" w:cs="方正小标宋简体" w:hint="eastAsia"/>
          <w:snapToGrid/>
          <w:color w:val="auto"/>
          <w:kern w:val="2"/>
          <w:sz w:val="44"/>
          <w:szCs w:val="44"/>
          <w:lang w:eastAsia="zh-CN"/>
        </w:rPr>
        <w:t>学前教育专业中外合作办学项目办学报告</w:t>
      </w:r>
    </w:p>
    <w:bookmarkEnd w:id="1"/>
    <w:p w14:paraId="0979DAE5" w14:textId="77777777" w:rsidR="00B943B8" w:rsidRDefault="00B943B8" w:rsidP="009F69A5">
      <w:pPr>
        <w:widowControl w:val="0"/>
        <w:kinsoku/>
        <w:spacing w:line="560" w:lineRule="exact"/>
        <w:rPr>
          <w:rFonts w:eastAsia="宋体"/>
          <w:color w:val="auto"/>
          <w:lang w:eastAsia="zh-CN"/>
        </w:rPr>
      </w:pPr>
    </w:p>
    <w:p w14:paraId="22CF3E89" w14:textId="77777777" w:rsidR="00B943B8" w:rsidRDefault="00000000" w:rsidP="009F69A5">
      <w:pPr>
        <w:widowControl w:val="0"/>
        <w:numPr>
          <w:ilvl w:val="0"/>
          <w:numId w:val="1"/>
        </w:numPr>
        <w:kinsoku/>
        <w:autoSpaceDE/>
        <w:autoSpaceDN/>
        <w:spacing w:line="560" w:lineRule="exact"/>
        <w:ind w:firstLineChars="200" w:firstLine="640"/>
        <w:jc w:val="both"/>
        <w:textAlignment w:val="auto"/>
        <w:rPr>
          <w:rFonts w:ascii="黑体" w:eastAsia="黑体" w:hAnsi="黑体" w:cs="黑体" w:hint="eastAsia"/>
          <w:snapToGrid/>
          <w:color w:val="auto"/>
          <w:kern w:val="2"/>
          <w:sz w:val="32"/>
          <w:szCs w:val="32"/>
          <w:lang w:eastAsia="zh-CN"/>
        </w:rPr>
      </w:pPr>
      <w:r>
        <w:rPr>
          <w:rFonts w:ascii="黑体" w:eastAsia="黑体" w:hAnsi="黑体" w:cs="黑体" w:hint="eastAsia"/>
          <w:snapToGrid/>
          <w:color w:val="auto"/>
          <w:kern w:val="2"/>
          <w:sz w:val="32"/>
          <w:szCs w:val="32"/>
          <w:lang w:eastAsia="zh-CN"/>
        </w:rPr>
        <w:t>办学基本情况</w:t>
      </w:r>
    </w:p>
    <w:p w14:paraId="039EE238" w14:textId="77777777" w:rsidR="00B943B8" w:rsidRDefault="00000000" w:rsidP="009F69A5">
      <w:pPr>
        <w:widowControl w:val="0"/>
        <w:kinsoku/>
        <w:spacing w:line="560" w:lineRule="exact"/>
        <w:ind w:firstLineChars="200" w:firstLine="643"/>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（一）项目基本信息</w:t>
      </w:r>
    </w:p>
    <w:p w14:paraId="015926A9" w14:textId="77777777" w:rsidR="00B943B8" w:rsidRDefault="00000000" w:rsidP="009F69A5">
      <w:pPr>
        <w:widowControl w:val="0"/>
        <w:kinsoku/>
        <w:spacing w:line="560" w:lineRule="exact"/>
        <w:ind w:firstLine="640"/>
        <w:rPr>
          <w:rFonts w:ascii="仿宋_GB2312" w:eastAsia="仿宋_GB2312" w:hAnsi="仿宋_GB2312" w:cs="仿宋_GB2312" w:hint="eastAsia"/>
          <w:b/>
          <w:bCs/>
          <w:color w:val="auto"/>
          <w:sz w:val="32"/>
          <w:szCs w:val="32"/>
          <w:lang w:eastAsia="zh-CN"/>
        </w:rPr>
      </w:pPr>
      <w:r>
        <w:rPr>
          <w:rFonts w:ascii="仿宋_GB2312" w:eastAsia="仿宋_GB2312" w:hAnsi="仿宋_GB2312" w:cs="仿宋_GB2312" w:hint="eastAsia"/>
          <w:b/>
          <w:bCs/>
          <w:color w:val="auto"/>
          <w:sz w:val="32"/>
          <w:szCs w:val="32"/>
          <w:lang w:eastAsia="zh-CN"/>
        </w:rPr>
        <w:t>项目名称：湖北第二师范学院与美国东北州立大学合作举办学前教育专业本科教育项目</w:t>
      </w:r>
    </w:p>
    <w:p w14:paraId="542CCA3B"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本项目为国家教育主管部门批准的中外合作办学本科教育项目（批准书编号：MOE42USA02DNR20202105N），由湖北第二</w:t>
      </w:r>
      <w:bookmarkStart w:id="2" w:name="OLE_LINK2"/>
      <w:bookmarkStart w:id="3" w:name="OLE_LINK3"/>
      <w:bookmarkStart w:id="4" w:name="OLE_LINK1"/>
      <w:r>
        <w:rPr>
          <w:rFonts w:ascii="仿宋_GB2312" w:eastAsia="仿宋_GB2312" w:hAnsi="仿宋_GB2312" w:cs="仿宋_GB2312" w:hint="eastAsia"/>
          <w:color w:val="auto"/>
          <w:sz w:val="32"/>
          <w:szCs w:val="32"/>
          <w:lang w:eastAsia="zh-CN"/>
        </w:rPr>
        <w:t>师范学院与美国东北州立大学（均为独立法人）联合实施。项目为全日制普通本科，学制四年，统招纳入湖北省计划内本科录取批次，招生年限2021年—2025年，年计划招生80人。考生需通过全国高考并达到同批次分数线，择优录取。采用“4+0”培养模式。成绩合格，毕业可获中方本科毕业证书、学士学位证书。赴美方学习且成绩合格可获得美国东北州立大学学士学位证书。</w:t>
      </w:r>
    </w:p>
    <w:bookmarkEnd w:id="2"/>
    <w:bookmarkEnd w:id="3"/>
    <w:bookmarkEnd w:id="4"/>
    <w:p w14:paraId="5557130C" w14:textId="77777777" w:rsidR="00B943B8" w:rsidRDefault="00000000" w:rsidP="009F69A5">
      <w:pPr>
        <w:widowControl w:val="0"/>
        <w:kinsoku/>
        <w:spacing w:line="560" w:lineRule="exact"/>
        <w:ind w:firstLineChars="200" w:firstLine="643"/>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（二）办学定位与目标</w:t>
      </w:r>
    </w:p>
    <w:p w14:paraId="0882A1F5"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办学定位：以教师教育为特色，融合中美优质教育资源，构建国际化学前教育人才培养体系。</w:t>
      </w:r>
    </w:p>
    <w:p w14:paraId="168BEB61"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办学目标：立足武汉，面向湖北，辐射全国，培养具有扎实专业知识、宽广的国际视野和跨文化交流能力、深厚的人文底蕴和科学精神的新时代优秀幼教教师，服务我国学前教育事业发展。</w:t>
      </w:r>
    </w:p>
    <w:p w14:paraId="10D1A4A2" w14:textId="77777777" w:rsidR="00B943B8" w:rsidRDefault="00000000" w:rsidP="009F69A5">
      <w:pPr>
        <w:widowControl w:val="0"/>
        <w:kinsoku/>
        <w:spacing w:line="560" w:lineRule="exact"/>
        <w:ind w:firstLineChars="200" w:firstLine="643"/>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（三）中外方参与制定更新培养方案与教学计划情况</w:t>
      </w:r>
    </w:p>
    <w:p w14:paraId="55A59DC3" w14:textId="77777777" w:rsidR="00B943B8" w:rsidRDefault="00000000" w:rsidP="009F69A5">
      <w:pPr>
        <w:widowControl w:val="0"/>
        <w:kinsoku/>
        <w:spacing w:line="560" w:lineRule="exact"/>
        <w:ind w:firstLineChars="200" w:firstLine="640"/>
        <w:jc w:val="both"/>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lastRenderedPageBreak/>
        <w:t>项目高度重视中外合作办学的规范性与科学性，坚持“中外方共同参与、优势互补、双向对接”的原则，在培养方案、教学计划、教学大纲及学位授予标准等环节均实行全过程共建机制。首先，在培养方案制定方面，共同组建了联合管理委员会和专业教学委员会，全面负责人才培养方案的制定与实施工作。双方共同设计了学前教育专业中外合作办学项目“4+0”培养模式的人才培养方案。其次，在教学计划与教学大纲编制方面，中方教师重点负责课程体系的基础性和适应性设计，注重与中国教育部相关专业规范的衔接；外方教师重点负责专业核心课程、国际前沿课程的建设，注重引入先进的教育理念与教学方法。双方通过定期召开教学研讨会、联合修订课程标准，确保课程体系既符合中国教育部规定，又满足外方高校学术标准。</w:t>
      </w:r>
    </w:p>
    <w:p w14:paraId="4DA2238C"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学前教育中外合作办学项目人才培养方案，采取全日制4年学制与“4+0”合作办学模式。在第一版人才培养方案的基础上，学校专门组织教育科学学院相关领导与教师组团赴美方调研，前后共计13人次。美方每年派代表来我校重点就制定人才培养方案、引进外方教育资源、深化项目合作等事宜进行了协商，根据合作办学专业的实际情况确定了符合实际的教学计划。第一学年重点提高学生的英语水平，要求</w:t>
      </w:r>
      <w:proofErr w:type="gramStart"/>
      <w:r>
        <w:rPr>
          <w:rFonts w:ascii="仿宋_GB2312" w:eastAsia="仿宋_GB2312" w:hAnsi="仿宋_GB2312" w:cs="仿宋_GB2312" w:hint="eastAsia"/>
          <w:color w:val="auto"/>
          <w:sz w:val="32"/>
          <w:szCs w:val="32"/>
          <w:lang w:eastAsia="zh-CN"/>
        </w:rPr>
        <w:t>达到雅思</w:t>
      </w:r>
      <w:proofErr w:type="gramEnd"/>
      <w:r>
        <w:rPr>
          <w:rFonts w:ascii="仿宋_GB2312" w:eastAsia="仿宋_GB2312" w:hAnsi="仿宋_GB2312" w:cs="仿宋_GB2312" w:hint="eastAsia"/>
          <w:color w:val="auto"/>
          <w:sz w:val="32"/>
          <w:szCs w:val="32"/>
          <w:lang w:eastAsia="zh-CN"/>
        </w:rPr>
        <w:t>5.5或同等水平，以保证外方课程学习效果。2025年根据最新版项目人才培养方案要求，学生在规定年限内修满140学分，修满通识必修课35学分，学科基础课与专业核心课78.5学分，专业选修课至少修满13学分，专业综合实践15学分。完成中外合作办学项目人才培养方案的课程学习，达到毕业学分要求，通过论文答辩，准予毕业。</w:t>
      </w:r>
    </w:p>
    <w:p w14:paraId="603A864D" w14:textId="77777777" w:rsidR="00B943B8" w:rsidRDefault="00000000" w:rsidP="009F69A5">
      <w:pPr>
        <w:widowControl w:val="0"/>
        <w:kinsoku/>
        <w:spacing w:line="560" w:lineRule="exact"/>
        <w:ind w:firstLineChars="200" w:firstLine="643"/>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（四）本年度招生和毕业生情况</w:t>
      </w:r>
    </w:p>
    <w:p w14:paraId="403F2D03"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项目纳入国家普通高等教育招生计划，参加全国普通高等学校统一入学考试。按照湖北省招生办政策规定“对中外合作办学本科专业实行分类投档”，只投档录取填报了专业志愿的考生，不调剂录取。招生宣传公开透明，坚持阳光招生。招生与录取过程中，没有收到任何投诉。</w:t>
      </w:r>
    </w:p>
    <w:p w14:paraId="52AE9B4A"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项目面向湖北、浙江、广东、江苏4省招生，2025年录取70人。完成一个培养周期，本年度有毕业生58人。</w:t>
      </w:r>
    </w:p>
    <w:p w14:paraId="0F883F80" w14:textId="77777777" w:rsidR="00B943B8" w:rsidRDefault="00000000" w:rsidP="009F69A5">
      <w:pPr>
        <w:widowControl w:val="0"/>
        <w:kinsoku/>
        <w:spacing w:line="560" w:lineRule="exact"/>
        <w:ind w:firstLineChars="200" w:firstLine="643"/>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（五）学生规模和师资队伍情况</w:t>
      </w:r>
    </w:p>
    <w:p w14:paraId="78F8CE44"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2025年度在校学生规模：260人。2022-2025级学前中外合作班的学生人数分别是96，56、38、70人。</w:t>
      </w:r>
    </w:p>
    <w:p w14:paraId="7C0DEC74"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担任项目教学的中方教师62人（含体育教师29人），其中高级职称教师21人，占比约33.9%，中级职称教师29人，占比约46.8%，博士17人，占比约27.4%，硕士30人，占比约48.4%。</w:t>
      </w:r>
    </w:p>
    <w:p w14:paraId="3D3511C1"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根据合作办学协议，引进的外方课程和专业核心课程占中外合作办学项目全部课程和核心课程的三分之一以上，外方教师担负的专业核心课程的门数和教学时数占中外合作办学项目全部课程和全部教学时数的三分之一以上。外方定期派遣专业课程教师到我校授课，每名教师讲授2-3门专业课程。担任中外合作办学项目教学任务的外方教师共13人，本年度共有4位教师在我校任教，每学期3</w:t>
      </w:r>
      <w:r>
        <w:rPr>
          <w:rFonts w:ascii="Calibri" w:eastAsia="仿宋_GB2312" w:hAnsi="Calibri" w:cs="Calibri" w:hint="eastAsia"/>
          <w:color w:val="auto"/>
          <w:sz w:val="32"/>
          <w:szCs w:val="32"/>
          <w:lang w:eastAsia="zh-CN"/>
        </w:rPr>
        <w:t>人</w:t>
      </w:r>
      <w:r>
        <w:rPr>
          <w:rFonts w:ascii="仿宋_GB2312" w:eastAsia="仿宋_GB2312" w:hAnsi="仿宋_GB2312" w:cs="仿宋_GB2312" w:hint="eastAsia"/>
          <w:color w:val="auto"/>
          <w:sz w:val="32"/>
          <w:szCs w:val="32"/>
          <w:lang w:eastAsia="zh-CN"/>
        </w:rPr>
        <w:t>，共完成18门课程的授课工作。</w:t>
      </w:r>
    </w:p>
    <w:p w14:paraId="37F6FD71" w14:textId="77777777" w:rsidR="00B943B8" w:rsidRDefault="00000000" w:rsidP="009F69A5">
      <w:pPr>
        <w:widowControl w:val="0"/>
        <w:kinsoku/>
        <w:spacing w:line="560" w:lineRule="exact"/>
        <w:ind w:firstLineChars="200" w:firstLine="643"/>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 xml:space="preserve">（六）延期变更和参加评估情况 </w:t>
      </w:r>
    </w:p>
    <w:p w14:paraId="1965BA36"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本年度完成一个培养周期，按要求参加评估，2026年评估结果为“有条件合格”。我校高度重视，将严格按照中外合作办学评估工作平台反馈的专家评估意见和建议进行整改，并申请再次参加评估，确保各项工作合法合</w:t>
      </w:r>
      <w:proofErr w:type="gramStart"/>
      <w:r>
        <w:rPr>
          <w:rFonts w:ascii="仿宋_GB2312" w:eastAsia="仿宋_GB2312" w:hAnsi="仿宋_GB2312" w:cs="仿宋_GB2312" w:hint="eastAsia"/>
          <w:color w:val="auto"/>
          <w:sz w:val="32"/>
          <w:szCs w:val="32"/>
          <w:lang w:eastAsia="zh-CN"/>
        </w:rPr>
        <w:t>规</w:t>
      </w:r>
      <w:proofErr w:type="gramEnd"/>
      <w:r>
        <w:rPr>
          <w:rFonts w:ascii="仿宋_GB2312" w:eastAsia="仿宋_GB2312" w:hAnsi="仿宋_GB2312" w:cs="仿宋_GB2312" w:hint="eastAsia"/>
          <w:color w:val="auto"/>
          <w:sz w:val="32"/>
          <w:szCs w:val="32"/>
          <w:lang w:eastAsia="zh-CN"/>
        </w:rPr>
        <w:t>，保证项目高质量发展。2026年项目申请延期招生至2030年，培养模式变更为3+1。</w:t>
      </w:r>
    </w:p>
    <w:p w14:paraId="6EA55B24" w14:textId="77777777" w:rsidR="00B943B8" w:rsidRDefault="00000000" w:rsidP="009F69A5">
      <w:pPr>
        <w:widowControl w:val="0"/>
        <w:kinsoku/>
        <w:spacing w:line="560" w:lineRule="exact"/>
        <w:ind w:firstLineChars="200" w:firstLine="640"/>
        <w:rPr>
          <w:rFonts w:ascii="黑体" w:eastAsia="黑体" w:hAnsi="黑体" w:hint="eastAsia"/>
          <w:color w:val="auto"/>
          <w:sz w:val="32"/>
          <w:szCs w:val="32"/>
          <w:lang w:eastAsia="zh-CN"/>
        </w:rPr>
      </w:pPr>
      <w:r>
        <w:rPr>
          <w:rFonts w:ascii="黑体" w:eastAsia="黑体" w:hAnsi="黑体" w:hint="eastAsia"/>
          <w:color w:val="auto"/>
          <w:sz w:val="32"/>
          <w:szCs w:val="32"/>
          <w:lang w:eastAsia="zh-CN"/>
        </w:rPr>
        <w:t>二、党建思政工作情况</w:t>
      </w:r>
    </w:p>
    <w:p w14:paraId="58A676C0" w14:textId="77777777" w:rsidR="00B943B8" w:rsidRDefault="00000000" w:rsidP="009F69A5">
      <w:pPr>
        <w:widowControl w:val="0"/>
        <w:kinsoku/>
        <w:spacing w:line="560" w:lineRule="exact"/>
        <w:ind w:firstLineChars="200" w:firstLine="643"/>
        <w:rPr>
          <w:rFonts w:ascii="楷体_GB2312" w:eastAsia="楷体_GB2312"/>
          <w:b/>
          <w:bCs/>
          <w:color w:val="auto"/>
          <w:sz w:val="32"/>
          <w:szCs w:val="32"/>
          <w:lang w:eastAsia="zh-CN"/>
        </w:rPr>
      </w:pPr>
      <w:r>
        <w:rPr>
          <w:rFonts w:ascii="楷体_GB2312" w:eastAsia="楷体_GB2312" w:hint="eastAsia"/>
          <w:b/>
          <w:bCs/>
          <w:color w:val="auto"/>
          <w:sz w:val="32"/>
          <w:szCs w:val="32"/>
          <w:lang w:eastAsia="zh-CN"/>
        </w:rPr>
        <w:t>（一）党建工作</w:t>
      </w:r>
    </w:p>
    <w:p w14:paraId="05269B90"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中外合作办学项目实施过程中，坚持社会主义办学方向，坚持全面贯彻党的教育方针，在学院党委领导下严格执行“三同步”原则：党的建设纳入合作办学协议同步谋划，基层党组织与项目管理架构同步设置，思想政治工作与课程教学同步开展。</w:t>
      </w:r>
    </w:p>
    <w:p w14:paraId="352AA7CC" w14:textId="77777777" w:rsidR="00B943B8" w:rsidRDefault="00000000" w:rsidP="009F69A5">
      <w:pPr>
        <w:widowControl w:val="0"/>
        <w:numPr>
          <w:ilvl w:val="0"/>
          <w:numId w:val="2"/>
        </w:numPr>
        <w:kinsoku/>
        <w:spacing w:line="560" w:lineRule="exact"/>
        <w:ind w:firstLineChars="200" w:firstLine="643"/>
        <w:rPr>
          <w:rFonts w:ascii="楷体_GB2312" w:eastAsia="楷体_GB2312"/>
          <w:b/>
          <w:bCs/>
          <w:color w:val="auto"/>
          <w:sz w:val="32"/>
          <w:szCs w:val="32"/>
          <w:lang w:eastAsia="zh-CN"/>
        </w:rPr>
      </w:pPr>
      <w:r>
        <w:rPr>
          <w:rFonts w:ascii="楷体_GB2312" w:eastAsia="楷体_GB2312" w:hint="eastAsia"/>
          <w:b/>
          <w:bCs/>
          <w:color w:val="auto"/>
          <w:sz w:val="32"/>
          <w:szCs w:val="32"/>
          <w:lang w:eastAsia="zh-CN"/>
        </w:rPr>
        <w:t>意识形态工作</w:t>
      </w:r>
    </w:p>
    <w:p w14:paraId="407417B3"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自本项目实施以来，学校党委认真贯彻落实《中国共产党普通高等学校基层组织工作条例》和中共中央组织部、中共教育部党组《关于加强高校中外合作办学党的建设工作的通知》等文件精神，把党的领导始终贯穿于中外合作办学项目实施的全过程，积极探索党建工作与学生发展深度融合的建设路径，形成了良好的育人工作格局，为做好中外合作办学项目提供了坚定的政治保障。</w:t>
      </w:r>
    </w:p>
    <w:p w14:paraId="40BDF8A8" w14:textId="77777777" w:rsidR="00B943B8" w:rsidRDefault="00000000" w:rsidP="009F69A5">
      <w:pPr>
        <w:widowControl w:val="0"/>
        <w:kinsoku/>
        <w:spacing w:line="560" w:lineRule="exact"/>
        <w:ind w:firstLineChars="200" w:firstLine="643"/>
        <w:rPr>
          <w:rFonts w:ascii="楷体_GB2312" w:eastAsia="楷体_GB2312"/>
          <w:b/>
          <w:bCs/>
          <w:color w:val="auto"/>
          <w:sz w:val="32"/>
          <w:szCs w:val="32"/>
          <w:lang w:eastAsia="zh-CN"/>
        </w:rPr>
      </w:pPr>
      <w:r>
        <w:rPr>
          <w:rFonts w:ascii="楷体_GB2312" w:eastAsia="楷体_GB2312" w:hint="eastAsia"/>
          <w:b/>
          <w:bCs/>
          <w:color w:val="auto"/>
          <w:sz w:val="32"/>
          <w:szCs w:val="32"/>
          <w:lang w:eastAsia="zh-CN"/>
        </w:rPr>
        <w:t>（三）学生思政工作</w:t>
      </w:r>
    </w:p>
    <w:p w14:paraId="52F91B93"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项目班级辅导员建立了“学生档案袋”，全面掌握每位学生的家庭经济状况、学习情况、思想动态、个性与特长，对学习生活中的困难提供及时帮助。学前教育中外合作办学项目班级隶属于教育科学学院党委学生第三党支部，党支部书记由辅导员老师担任。</w:t>
      </w:r>
    </w:p>
    <w:p w14:paraId="39A3A860"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本项目按照人才培养方案全程开齐、开满思想政治理论课程，包括习近平新时代中国特色社会主义思想。相关课程包括《思想道德与法治》《中国近现代史纲要》《马克思主义基本原理》《毛泽东思想和中国特色社会主义理论体系概论》《习近平新时代中国特色社会主义思想概论》《形势与政策》和《军事理论》等。同时中外合作项目班级学生与同支部普通专业班级一起参加学校大</w:t>
      </w:r>
      <w:proofErr w:type="gramStart"/>
      <w:r>
        <w:rPr>
          <w:rFonts w:ascii="仿宋_GB2312" w:eastAsia="仿宋_GB2312" w:hAnsi="仿宋_GB2312" w:cs="仿宋_GB2312" w:hint="eastAsia"/>
          <w:color w:val="auto"/>
          <w:sz w:val="32"/>
          <w:szCs w:val="32"/>
          <w:lang w:eastAsia="zh-CN"/>
        </w:rPr>
        <w:t>思政教育</w:t>
      </w:r>
      <w:proofErr w:type="gramEnd"/>
      <w:r>
        <w:rPr>
          <w:rFonts w:ascii="仿宋_GB2312" w:eastAsia="仿宋_GB2312" w:hAnsi="仿宋_GB2312" w:cs="仿宋_GB2312" w:hint="eastAsia"/>
          <w:color w:val="auto"/>
          <w:sz w:val="32"/>
          <w:szCs w:val="32"/>
          <w:lang w:eastAsia="zh-CN"/>
        </w:rPr>
        <w:t>活动、“三会一课”以及主题团日和主题党日学习。</w:t>
      </w:r>
    </w:p>
    <w:p w14:paraId="567F39C6" w14:textId="77777777" w:rsidR="00B943B8" w:rsidRDefault="00000000" w:rsidP="009F69A5">
      <w:pPr>
        <w:widowControl w:val="0"/>
        <w:numPr>
          <w:ilvl w:val="0"/>
          <w:numId w:val="3"/>
        </w:numPr>
        <w:kinsoku/>
        <w:spacing w:line="560" w:lineRule="exact"/>
        <w:ind w:firstLineChars="200" w:firstLine="643"/>
        <w:rPr>
          <w:rFonts w:ascii="楷体_GB2312" w:eastAsia="楷体_GB2312"/>
          <w:b/>
          <w:bCs/>
          <w:color w:val="auto"/>
          <w:sz w:val="32"/>
          <w:szCs w:val="32"/>
          <w:lang w:eastAsia="zh-CN"/>
        </w:rPr>
      </w:pPr>
      <w:r>
        <w:rPr>
          <w:rFonts w:ascii="楷体_GB2312" w:eastAsia="楷体_GB2312" w:hint="eastAsia"/>
          <w:b/>
          <w:bCs/>
          <w:color w:val="auto"/>
          <w:sz w:val="32"/>
          <w:szCs w:val="32"/>
          <w:lang w:eastAsia="zh-CN"/>
        </w:rPr>
        <w:t>师德师风工作</w:t>
      </w:r>
    </w:p>
    <w:p w14:paraId="69D84508"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承担中外合作办学项目教学任务的中方教师均为我校专职教师，教学经验丰富，师德师风良好，未出现师德师风问题案例。项目外籍教师聘任与管理执行《湖北第二师范学院外籍教师聘任与管理办法》，外方教师按照合作协议由双方认可后派出，并在签订工作合同时明确中方相关法律及师德师风要求。外方教师爱岗敬业，对华友好，课堂监管中没有发现任何违反教师职业道德规范的行为。</w:t>
      </w:r>
    </w:p>
    <w:p w14:paraId="28DD3786" w14:textId="77777777" w:rsidR="00B943B8" w:rsidRDefault="00000000" w:rsidP="009F69A5">
      <w:pPr>
        <w:widowControl w:val="0"/>
        <w:numPr>
          <w:ilvl w:val="0"/>
          <w:numId w:val="3"/>
        </w:numPr>
        <w:kinsoku/>
        <w:spacing w:line="560" w:lineRule="exact"/>
        <w:ind w:firstLineChars="200" w:firstLine="643"/>
        <w:rPr>
          <w:rFonts w:ascii="楷体_GB2312" w:eastAsia="楷体_GB2312"/>
          <w:b/>
          <w:bCs/>
          <w:color w:val="auto"/>
          <w:sz w:val="32"/>
          <w:szCs w:val="32"/>
          <w:lang w:eastAsia="zh-CN"/>
        </w:rPr>
      </w:pPr>
      <w:proofErr w:type="gramStart"/>
      <w:r>
        <w:rPr>
          <w:rFonts w:ascii="楷体_GB2312" w:eastAsia="楷体_GB2312" w:hint="eastAsia"/>
          <w:b/>
          <w:bCs/>
          <w:color w:val="auto"/>
          <w:sz w:val="32"/>
          <w:szCs w:val="32"/>
          <w:lang w:eastAsia="zh-CN"/>
        </w:rPr>
        <w:t>项目党建</w:t>
      </w:r>
      <w:proofErr w:type="gramEnd"/>
      <w:r>
        <w:rPr>
          <w:rFonts w:ascii="楷体_GB2312" w:eastAsia="楷体_GB2312" w:hint="eastAsia"/>
          <w:b/>
          <w:bCs/>
          <w:color w:val="auto"/>
          <w:sz w:val="32"/>
          <w:szCs w:val="32"/>
          <w:lang w:eastAsia="zh-CN"/>
        </w:rPr>
        <w:t>发展基本数据</w:t>
      </w:r>
    </w:p>
    <w:p w14:paraId="49A7CD92"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本项目建有学生支部1个，党员总数29人，2025年发展党员24人、入党积极分子24人。</w:t>
      </w:r>
    </w:p>
    <w:p w14:paraId="4586353A" w14:textId="77777777" w:rsidR="00B943B8" w:rsidRDefault="00000000" w:rsidP="009F69A5">
      <w:pPr>
        <w:widowControl w:val="0"/>
        <w:numPr>
          <w:ilvl w:val="0"/>
          <w:numId w:val="3"/>
        </w:numPr>
        <w:kinsoku/>
        <w:spacing w:line="560" w:lineRule="exact"/>
        <w:ind w:firstLineChars="200" w:firstLine="643"/>
        <w:rPr>
          <w:rFonts w:ascii="楷体_GB2312" w:eastAsia="楷体_GB2312"/>
          <w:b/>
          <w:bCs/>
          <w:color w:val="auto"/>
          <w:sz w:val="32"/>
          <w:szCs w:val="32"/>
          <w:lang w:eastAsia="zh-CN"/>
        </w:rPr>
      </w:pPr>
      <w:r>
        <w:rPr>
          <w:rFonts w:ascii="楷体_GB2312" w:eastAsia="楷体_GB2312" w:hint="eastAsia"/>
          <w:b/>
          <w:bCs/>
          <w:color w:val="auto"/>
          <w:sz w:val="32"/>
          <w:szCs w:val="32"/>
          <w:lang w:eastAsia="zh-CN"/>
        </w:rPr>
        <w:t>薄弱环节及下步措施</w:t>
      </w:r>
    </w:p>
    <w:p w14:paraId="48B4CE15" w14:textId="77777777" w:rsidR="00B943B8" w:rsidRDefault="00000000" w:rsidP="009F69A5">
      <w:pPr>
        <w:widowControl w:val="0"/>
        <w:kinsoku/>
        <w:spacing w:line="560" w:lineRule="exact"/>
        <w:ind w:firstLineChars="200" w:firstLine="640"/>
        <w:rPr>
          <w:rFonts w:ascii="楷体_GB2312" w:eastAsia="楷体_GB2312"/>
          <w:b/>
          <w:bCs/>
          <w:color w:val="auto"/>
          <w:sz w:val="32"/>
          <w:szCs w:val="32"/>
          <w:lang w:eastAsia="zh-CN"/>
        </w:rPr>
      </w:pPr>
      <w:r>
        <w:rPr>
          <w:rFonts w:ascii="仿宋_GB2312" w:eastAsia="仿宋_GB2312" w:hAnsi="仿宋_GB2312" w:cs="仿宋_GB2312" w:hint="eastAsia"/>
          <w:color w:val="auto"/>
          <w:sz w:val="32"/>
          <w:szCs w:val="32"/>
          <w:lang w:eastAsia="zh-CN"/>
        </w:rPr>
        <w:t>薄弱环节及下步举措方面，“三全育人”思政工作落到实处还有待提升，对于出国的学生，在思想教育方面还不够深入，措施还不够完善。我们将发挥好专业教师赴美课程研修期间的育人作用，专门为东北州立大学学习的项目学生建立</w:t>
      </w:r>
      <w:proofErr w:type="gramStart"/>
      <w:r>
        <w:rPr>
          <w:rFonts w:ascii="仿宋_GB2312" w:eastAsia="仿宋_GB2312" w:hAnsi="仿宋_GB2312" w:cs="仿宋_GB2312" w:hint="eastAsia"/>
          <w:color w:val="auto"/>
          <w:sz w:val="32"/>
          <w:szCs w:val="32"/>
          <w:lang w:eastAsia="zh-CN"/>
        </w:rPr>
        <w:t>微信群</w:t>
      </w:r>
      <w:proofErr w:type="gramEnd"/>
      <w:r>
        <w:rPr>
          <w:rFonts w:ascii="仿宋_GB2312" w:eastAsia="仿宋_GB2312" w:hAnsi="仿宋_GB2312" w:cs="仿宋_GB2312" w:hint="eastAsia"/>
          <w:color w:val="auto"/>
          <w:sz w:val="32"/>
          <w:szCs w:val="32"/>
          <w:lang w:eastAsia="zh-CN"/>
        </w:rPr>
        <w:t>，线上、线下跟踪指导在美留学学生，定期沟通交流留学生活和</w:t>
      </w:r>
      <w:proofErr w:type="gramStart"/>
      <w:r>
        <w:rPr>
          <w:rFonts w:ascii="仿宋_GB2312" w:eastAsia="仿宋_GB2312" w:hAnsi="仿宋_GB2312" w:cs="仿宋_GB2312" w:hint="eastAsia"/>
          <w:color w:val="auto"/>
          <w:sz w:val="32"/>
          <w:szCs w:val="32"/>
          <w:lang w:eastAsia="zh-CN"/>
        </w:rPr>
        <w:t>思政教育</w:t>
      </w:r>
      <w:proofErr w:type="gramEnd"/>
      <w:r>
        <w:rPr>
          <w:rFonts w:ascii="仿宋_GB2312" w:eastAsia="仿宋_GB2312" w:hAnsi="仿宋_GB2312" w:cs="仿宋_GB2312" w:hint="eastAsia"/>
          <w:color w:val="auto"/>
          <w:sz w:val="32"/>
          <w:szCs w:val="32"/>
          <w:lang w:eastAsia="zh-CN"/>
        </w:rPr>
        <w:t>事宜，鼓励学生参与东北州立大学各种学术活动，把爱党爱国融入青春奋斗之中。</w:t>
      </w:r>
    </w:p>
    <w:p w14:paraId="5B52D791" w14:textId="77777777" w:rsidR="00B943B8" w:rsidRDefault="00000000" w:rsidP="009F69A5">
      <w:pPr>
        <w:widowControl w:val="0"/>
        <w:kinsoku/>
        <w:spacing w:line="560" w:lineRule="exact"/>
        <w:ind w:firstLineChars="200" w:firstLine="640"/>
        <w:rPr>
          <w:rFonts w:ascii="黑体" w:eastAsia="黑体" w:hAnsi="黑体" w:cs="黑体" w:hint="eastAsia"/>
          <w:color w:val="auto"/>
          <w:sz w:val="32"/>
          <w:szCs w:val="32"/>
        </w:rPr>
      </w:pPr>
      <w:proofErr w:type="spellStart"/>
      <w:r>
        <w:rPr>
          <w:rFonts w:ascii="黑体" w:eastAsia="黑体" w:hAnsi="黑体" w:cs="黑体" w:hint="eastAsia"/>
          <w:color w:val="auto"/>
          <w:sz w:val="32"/>
          <w:szCs w:val="32"/>
        </w:rPr>
        <w:t>三、教育教学工作情况</w:t>
      </w:r>
      <w:proofErr w:type="spellEnd"/>
    </w:p>
    <w:p w14:paraId="1424AAA6" w14:textId="77777777" w:rsidR="00B943B8" w:rsidRDefault="00000000" w:rsidP="009F69A5">
      <w:pPr>
        <w:widowControl w:val="0"/>
        <w:numPr>
          <w:ilvl w:val="0"/>
          <w:numId w:val="4"/>
        </w:numPr>
        <w:kinsoku/>
        <w:spacing w:line="560" w:lineRule="exact"/>
        <w:ind w:firstLineChars="200" w:firstLine="643"/>
        <w:rPr>
          <w:rFonts w:ascii="楷体_GB2312" w:eastAsia="楷体_GB2312" w:hAnsi="楷体_GB2312" w:cs="楷体_GB2312" w:hint="eastAsia"/>
          <w:b/>
          <w:bCs/>
          <w:color w:val="auto"/>
          <w:sz w:val="32"/>
          <w:szCs w:val="32"/>
        </w:rPr>
      </w:pPr>
      <w:proofErr w:type="spellStart"/>
      <w:r>
        <w:rPr>
          <w:rFonts w:ascii="楷体_GB2312" w:eastAsia="楷体_GB2312" w:hAnsi="楷体_GB2312" w:cs="楷体_GB2312" w:hint="eastAsia"/>
          <w:b/>
          <w:bCs/>
          <w:color w:val="auto"/>
          <w:sz w:val="32"/>
          <w:szCs w:val="32"/>
        </w:rPr>
        <w:t>课程设置</w:t>
      </w:r>
      <w:proofErr w:type="spellEnd"/>
    </w:p>
    <w:p w14:paraId="5DB35508"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2025年自然年21-24级执行之前人才培养方案版本，课程为54门，25级执行最新2025</w:t>
      </w:r>
      <w:proofErr w:type="gramStart"/>
      <w:r>
        <w:rPr>
          <w:rFonts w:ascii="仿宋_GB2312" w:eastAsia="仿宋_GB2312" w:hAnsi="仿宋_GB2312" w:cs="仿宋_GB2312" w:hint="eastAsia"/>
          <w:color w:val="auto"/>
          <w:sz w:val="32"/>
          <w:szCs w:val="32"/>
          <w:lang w:eastAsia="zh-CN"/>
        </w:rPr>
        <w:t>版项目</w:t>
      </w:r>
      <w:proofErr w:type="gramEnd"/>
      <w:r>
        <w:rPr>
          <w:rFonts w:ascii="仿宋_GB2312" w:eastAsia="仿宋_GB2312" w:hAnsi="仿宋_GB2312" w:cs="仿宋_GB2312" w:hint="eastAsia"/>
          <w:color w:val="auto"/>
          <w:sz w:val="32"/>
          <w:szCs w:val="32"/>
          <w:lang w:eastAsia="zh-CN"/>
        </w:rPr>
        <w:t>人才培养方案，25</w:t>
      </w:r>
      <w:proofErr w:type="gramStart"/>
      <w:r>
        <w:rPr>
          <w:rFonts w:ascii="仿宋_GB2312" w:eastAsia="仿宋_GB2312" w:hAnsi="仿宋_GB2312" w:cs="仿宋_GB2312" w:hint="eastAsia"/>
          <w:color w:val="auto"/>
          <w:sz w:val="32"/>
          <w:szCs w:val="32"/>
          <w:lang w:eastAsia="zh-CN"/>
        </w:rPr>
        <w:t>版人培共</w:t>
      </w:r>
      <w:proofErr w:type="gramEnd"/>
      <w:r>
        <w:rPr>
          <w:rFonts w:ascii="仿宋_GB2312" w:eastAsia="仿宋_GB2312" w:hAnsi="仿宋_GB2312" w:cs="仿宋_GB2312" w:hint="eastAsia"/>
          <w:color w:val="auto"/>
          <w:sz w:val="32"/>
          <w:szCs w:val="32"/>
          <w:lang w:eastAsia="zh-CN"/>
        </w:rPr>
        <w:t>开设课程58门，其中引进外方课程20门，占比34.5%。所开设课程中专业课程44门，其中引进外方课程20门，占比45.5%。专业核心课35门，引进外方课程20门，占比57.1%。由美国东北州立大学选派或培训后聘请的教师承担教学任务，外方教师担负的专业核心课程的门数（20门）和教学时数（752学时）占中外合作办学项目全部课程（58门）和全部教学时数（2188学时）的三分之一以上。</w:t>
      </w:r>
    </w:p>
    <w:tbl>
      <w:tblPr>
        <w:tblStyle w:val="TableNormal"/>
        <w:tblW w:w="4909" w:type="pct"/>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52"/>
        <w:gridCol w:w="1148"/>
        <w:gridCol w:w="1249"/>
        <w:gridCol w:w="1100"/>
        <w:gridCol w:w="1322"/>
        <w:gridCol w:w="1329"/>
      </w:tblGrid>
      <w:tr w:rsidR="00B943B8" w14:paraId="1152A21A" w14:textId="77777777">
        <w:trPr>
          <w:trHeight w:val="415"/>
          <w:jc w:val="center"/>
        </w:trPr>
        <w:tc>
          <w:tcPr>
            <w:tcW w:w="2040" w:type="dxa"/>
            <w:vMerge w:val="restart"/>
            <w:tcBorders>
              <w:bottom w:val="nil"/>
            </w:tcBorders>
            <w:vAlign w:val="center"/>
          </w:tcPr>
          <w:p w14:paraId="43D1EC9F"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类别</w:t>
            </w:r>
            <w:proofErr w:type="spellEnd"/>
          </w:p>
        </w:tc>
        <w:tc>
          <w:tcPr>
            <w:tcW w:w="2384" w:type="dxa"/>
            <w:gridSpan w:val="2"/>
            <w:vAlign w:val="center"/>
          </w:tcPr>
          <w:p w14:paraId="676F6BFF"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中方开设课程</w:t>
            </w:r>
            <w:proofErr w:type="spellEnd"/>
          </w:p>
        </w:tc>
        <w:tc>
          <w:tcPr>
            <w:tcW w:w="2409" w:type="dxa"/>
            <w:gridSpan w:val="2"/>
            <w:vAlign w:val="center"/>
          </w:tcPr>
          <w:p w14:paraId="388F067B" w14:textId="77777777" w:rsidR="00B943B8" w:rsidRDefault="00000000" w:rsidP="009F69A5">
            <w:pPr>
              <w:widowControl w:val="0"/>
              <w:kinsoku/>
              <w:spacing w:line="560" w:lineRule="exact"/>
              <w:ind w:firstLineChars="200" w:firstLine="480"/>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引进外方课程</w:t>
            </w:r>
            <w:proofErr w:type="spellEnd"/>
          </w:p>
        </w:tc>
        <w:tc>
          <w:tcPr>
            <w:tcW w:w="1322" w:type="dxa"/>
            <w:vMerge w:val="restart"/>
            <w:tcBorders>
              <w:bottom w:val="nil"/>
            </w:tcBorders>
            <w:vAlign w:val="center"/>
          </w:tcPr>
          <w:p w14:paraId="61F8654A"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课程总数</w:t>
            </w:r>
            <w:proofErr w:type="spellEnd"/>
          </w:p>
        </w:tc>
      </w:tr>
      <w:tr w:rsidR="00B943B8" w14:paraId="3A6DE933" w14:textId="77777777">
        <w:trPr>
          <w:trHeight w:val="446"/>
          <w:jc w:val="center"/>
        </w:trPr>
        <w:tc>
          <w:tcPr>
            <w:tcW w:w="2040" w:type="dxa"/>
            <w:vMerge/>
            <w:tcBorders>
              <w:top w:val="nil"/>
            </w:tcBorders>
            <w:vAlign w:val="center"/>
          </w:tcPr>
          <w:p w14:paraId="2A21673C" w14:textId="77777777" w:rsidR="00B943B8" w:rsidRDefault="00B943B8" w:rsidP="009F69A5">
            <w:pPr>
              <w:widowControl w:val="0"/>
              <w:kinsoku/>
              <w:spacing w:line="560" w:lineRule="exact"/>
              <w:ind w:firstLineChars="200" w:firstLine="480"/>
              <w:jc w:val="center"/>
              <w:rPr>
                <w:rFonts w:ascii="仿宋_GB2312" w:eastAsia="仿宋_GB2312" w:hAnsi="仿宋_GB2312" w:cs="仿宋_GB2312" w:hint="eastAsia"/>
                <w:color w:val="auto"/>
                <w:sz w:val="24"/>
              </w:rPr>
            </w:pPr>
          </w:p>
        </w:tc>
        <w:tc>
          <w:tcPr>
            <w:tcW w:w="1142" w:type="dxa"/>
            <w:vAlign w:val="center"/>
          </w:tcPr>
          <w:p w14:paraId="5E822D94"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门数</w:t>
            </w:r>
            <w:proofErr w:type="spellEnd"/>
          </w:p>
        </w:tc>
        <w:tc>
          <w:tcPr>
            <w:tcW w:w="1242" w:type="dxa"/>
            <w:vAlign w:val="center"/>
          </w:tcPr>
          <w:p w14:paraId="431B7D3A"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所占比例</w:t>
            </w:r>
            <w:proofErr w:type="spellEnd"/>
          </w:p>
        </w:tc>
        <w:tc>
          <w:tcPr>
            <w:tcW w:w="1094" w:type="dxa"/>
            <w:vAlign w:val="center"/>
          </w:tcPr>
          <w:p w14:paraId="109FFA95"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门数</w:t>
            </w:r>
            <w:proofErr w:type="spellEnd"/>
          </w:p>
        </w:tc>
        <w:tc>
          <w:tcPr>
            <w:tcW w:w="1315" w:type="dxa"/>
            <w:vAlign w:val="center"/>
          </w:tcPr>
          <w:p w14:paraId="645CD7CE"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所占比例</w:t>
            </w:r>
            <w:proofErr w:type="spellEnd"/>
          </w:p>
        </w:tc>
        <w:tc>
          <w:tcPr>
            <w:tcW w:w="1322" w:type="dxa"/>
            <w:vMerge/>
            <w:tcBorders>
              <w:top w:val="nil"/>
            </w:tcBorders>
            <w:vAlign w:val="center"/>
          </w:tcPr>
          <w:p w14:paraId="58CFE415" w14:textId="77777777" w:rsidR="00B943B8" w:rsidRDefault="00B943B8" w:rsidP="009F69A5">
            <w:pPr>
              <w:widowControl w:val="0"/>
              <w:kinsoku/>
              <w:spacing w:line="560" w:lineRule="exact"/>
              <w:ind w:firstLineChars="200" w:firstLine="480"/>
              <w:jc w:val="center"/>
              <w:rPr>
                <w:rFonts w:ascii="仿宋_GB2312" w:eastAsia="仿宋_GB2312" w:hAnsi="仿宋_GB2312" w:cs="仿宋_GB2312" w:hint="eastAsia"/>
                <w:color w:val="auto"/>
                <w:sz w:val="24"/>
              </w:rPr>
            </w:pPr>
          </w:p>
        </w:tc>
      </w:tr>
      <w:tr w:rsidR="00B943B8" w14:paraId="733FBBB5" w14:textId="77777777">
        <w:trPr>
          <w:trHeight w:val="452"/>
          <w:jc w:val="center"/>
        </w:trPr>
        <w:tc>
          <w:tcPr>
            <w:tcW w:w="2040" w:type="dxa"/>
            <w:vAlign w:val="center"/>
          </w:tcPr>
          <w:p w14:paraId="25980EC3"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公共课</w:t>
            </w:r>
            <w:proofErr w:type="spellEnd"/>
          </w:p>
        </w:tc>
        <w:tc>
          <w:tcPr>
            <w:tcW w:w="1142" w:type="dxa"/>
            <w:vAlign w:val="center"/>
          </w:tcPr>
          <w:p w14:paraId="557B2262"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14</w:t>
            </w:r>
          </w:p>
        </w:tc>
        <w:tc>
          <w:tcPr>
            <w:tcW w:w="1242" w:type="dxa"/>
            <w:vAlign w:val="center"/>
          </w:tcPr>
          <w:p w14:paraId="6FE2F7BE"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100%</w:t>
            </w:r>
          </w:p>
        </w:tc>
        <w:tc>
          <w:tcPr>
            <w:tcW w:w="1094" w:type="dxa"/>
            <w:vAlign w:val="center"/>
          </w:tcPr>
          <w:p w14:paraId="714734AC"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0</w:t>
            </w:r>
          </w:p>
        </w:tc>
        <w:tc>
          <w:tcPr>
            <w:tcW w:w="1315" w:type="dxa"/>
            <w:vAlign w:val="center"/>
          </w:tcPr>
          <w:p w14:paraId="53BCA60A"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0</w:t>
            </w:r>
          </w:p>
        </w:tc>
        <w:tc>
          <w:tcPr>
            <w:tcW w:w="1322" w:type="dxa"/>
            <w:vAlign w:val="center"/>
          </w:tcPr>
          <w:p w14:paraId="073ABBB5"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rPr>
              <w:t>1</w:t>
            </w:r>
            <w:r>
              <w:rPr>
                <w:rFonts w:ascii="仿宋_GB2312" w:eastAsia="仿宋_GB2312" w:hAnsi="仿宋_GB2312" w:cs="仿宋_GB2312" w:hint="eastAsia"/>
                <w:color w:val="auto"/>
                <w:sz w:val="24"/>
                <w:lang w:eastAsia="zh-CN"/>
              </w:rPr>
              <w:t>4</w:t>
            </w:r>
          </w:p>
        </w:tc>
      </w:tr>
      <w:tr w:rsidR="00B943B8" w14:paraId="5BA0B727" w14:textId="77777777">
        <w:trPr>
          <w:trHeight w:val="466"/>
          <w:jc w:val="center"/>
        </w:trPr>
        <w:tc>
          <w:tcPr>
            <w:tcW w:w="2040" w:type="dxa"/>
            <w:vAlign w:val="center"/>
          </w:tcPr>
          <w:p w14:paraId="6F110E5B"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专业核心课</w:t>
            </w:r>
            <w:proofErr w:type="spellEnd"/>
          </w:p>
        </w:tc>
        <w:tc>
          <w:tcPr>
            <w:tcW w:w="1142" w:type="dxa"/>
            <w:vAlign w:val="center"/>
          </w:tcPr>
          <w:p w14:paraId="7C609FC8"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rPr>
              <w:t>1</w:t>
            </w:r>
            <w:r>
              <w:rPr>
                <w:rFonts w:ascii="仿宋_GB2312" w:eastAsia="仿宋_GB2312" w:hAnsi="仿宋_GB2312" w:cs="仿宋_GB2312" w:hint="eastAsia"/>
                <w:color w:val="auto"/>
                <w:sz w:val="24"/>
                <w:lang w:eastAsia="zh-CN"/>
              </w:rPr>
              <w:t>5</w:t>
            </w:r>
          </w:p>
        </w:tc>
        <w:tc>
          <w:tcPr>
            <w:tcW w:w="1242" w:type="dxa"/>
            <w:vAlign w:val="center"/>
          </w:tcPr>
          <w:p w14:paraId="21DEBD0F"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42.9%</w:t>
            </w:r>
          </w:p>
        </w:tc>
        <w:tc>
          <w:tcPr>
            <w:tcW w:w="1094" w:type="dxa"/>
            <w:vAlign w:val="center"/>
          </w:tcPr>
          <w:p w14:paraId="7907B699"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20</w:t>
            </w:r>
          </w:p>
        </w:tc>
        <w:tc>
          <w:tcPr>
            <w:tcW w:w="1315" w:type="dxa"/>
            <w:vAlign w:val="center"/>
          </w:tcPr>
          <w:p w14:paraId="37F4F6BB"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57.1%</w:t>
            </w:r>
          </w:p>
        </w:tc>
        <w:tc>
          <w:tcPr>
            <w:tcW w:w="1322" w:type="dxa"/>
            <w:vAlign w:val="center"/>
          </w:tcPr>
          <w:p w14:paraId="4BAA342E"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35</w:t>
            </w:r>
          </w:p>
        </w:tc>
      </w:tr>
      <w:tr w:rsidR="00B943B8" w14:paraId="6DA0A7B2" w14:textId="77777777">
        <w:trPr>
          <w:trHeight w:val="466"/>
          <w:jc w:val="center"/>
        </w:trPr>
        <w:tc>
          <w:tcPr>
            <w:tcW w:w="2040" w:type="dxa"/>
            <w:vAlign w:val="center"/>
          </w:tcPr>
          <w:p w14:paraId="3F9F4955"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选修课</w:t>
            </w:r>
            <w:proofErr w:type="spellEnd"/>
          </w:p>
        </w:tc>
        <w:tc>
          <w:tcPr>
            <w:tcW w:w="1142" w:type="dxa"/>
            <w:vAlign w:val="center"/>
          </w:tcPr>
          <w:p w14:paraId="5CCD0683"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8</w:t>
            </w:r>
          </w:p>
        </w:tc>
        <w:tc>
          <w:tcPr>
            <w:tcW w:w="1242" w:type="dxa"/>
            <w:vAlign w:val="center"/>
          </w:tcPr>
          <w:p w14:paraId="407FB81D"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100%</w:t>
            </w:r>
          </w:p>
        </w:tc>
        <w:tc>
          <w:tcPr>
            <w:tcW w:w="1094" w:type="dxa"/>
            <w:vAlign w:val="center"/>
          </w:tcPr>
          <w:p w14:paraId="7EC71948"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0</w:t>
            </w:r>
          </w:p>
        </w:tc>
        <w:tc>
          <w:tcPr>
            <w:tcW w:w="1315" w:type="dxa"/>
            <w:vAlign w:val="center"/>
          </w:tcPr>
          <w:p w14:paraId="3721DCD0"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0</w:t>
            </w:r>
          </w:p>
        </w:tc>
        <w:tc>
          <w:tcPr>
            <w:tcW w:w="1322" w:type="dxa"/>
            <w:vAlign w:val="center"/>
          </w:tcPr>
          <w:p w14:paraId="2920E291"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8</w:t>
            </w:r>
          </w:p>
        </w:tc>
      </w:tr>
      <w:tr w:rsidR="00B943B8" w14:paraId="6DCD0523" w14:textId="77777777">
        <w:trPr>
          <w:trHeight w:val="466"/>
          <w:jc w:val="center"/>
        </w:trPr>
        <w:tc>
          <w:tcPr>
            <w:tcW w:w="2040" w:type="dxa"/>
            <w:vAlign w:val="center"/>
          </w:tcPr>
          <w:p w14:paraId="474E3B65"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实践课</w:t>
            </w:r>
            <w:proofErr w:type="spellEnd"/>
          </w:p>
        </w:tc>
        <w:tc>
          <w:tcPr>
            <w:tcW w:w="1142" w:type="dxa"/>
            <w:vAlign w:val="center"/>
          </w:tcPr>
          <w:p w14:paraId="1F49628B"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1</w:t>
            </w:r>
          </w:p>
        </w:tc>
        <w:tc>
          <w:tcPr>
            <w:tcW w:w="1242" w:type="dxa"/>
            <w:vAlign w:val="center"/>
          </w:tcPr>
          <w:p w14:paraId="5D562199"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100%</w:t>
            </w:r>
          </w:p>
        </w:tc>
        <w:tc>
          <w:tcPr>
            <w:tcW w:w="1094" w:type="dxa"/>
            <w:vAlign w:val="center"/>
          </w:tcPr>
          <w:p w14:paraId="4C53BFC6"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0</w:t>
            </w:r>
          </w:p>
        </w:tc>
        <w:tc>
          <w:tcPr>
            <w:tcW w:w="1315" w:type="dxa"/>
            <w:vAlign w:val="center"/>
          </w:tcPr>
          <w:p w14:paraId="43F0FCED"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0</w:t>
            </w:r>
          </w:p>
        </w:tc>
        <w:tc>
          <w:tcPr>
            <w:tcW w:w="1322" w:type="dxa"/>
            <w:vAlign w:val="center"/>
          </w:tcPr>
          <w:p w14:paraId="0F23DC74"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1</w:t>
            </w:r>
          </w:p>
        </w:tc>
      </w:tr>
      <w:tr w:rsidR="00B943B8" w14:paraId="44BBA51F" w14:textId="77777777">
        <w:trPr>
          <w:trHeight w:val="466"/>
          <w:jc w:val="center"/>
        </w:trPr>
        <w:tc>
          <w:tcPr>
            <w:tcW w:w="2040" w:type="dxa"/>
            <w:vAlign w:val="center"/>
          </w:tcPr>
          <w:p w14:paraId="6D4AF5FD"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合计</w:t>
            </w:r>
            <w:proofErr w:type="spellEnd"/>
          </w:p>
        </w:tc>
        <w:tc>
          <w:tcPr>
            <w:tcW w:w="1142" w:type="dxa"/>
            <w:vAlign w:val="center"/>
          </w:tcPr>
          <w:p w14:paraId="6FCBE8DD"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38</w:t>
            </w:r>
          </w:p>
        </w:tc>
        <w:tc>
          <w:tcPr>
            <w:tcW w:w="1242" w:type="dxa"/>
            <w:vAlign w:val="center"/>
          </w:tcPr>
          <w:p w14:paraId="7CB14D29"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6</w:t>
            </w:r>
            <w:r>
              <w:rPr>
                <w:rFonts w:ascii="仿宋_GB2312" w:eastAsia="仿宋_GB2312" w:hAnsi="仿宋_GB2312" w:cs="仿宋_GB2312" w:hint="eastAsia"/>
                <w:color w:val="auto"/>
                <w:sz w:val="24"/>
                <w:lang w:eastAsia="zh-CN"/>
              </w:rPr>
              <w:t>5.5</w:t>
            </w:r>
            <w:r>
              <w:rPr>
                <w:rFonts w:ascii="仿宋_GB2312" w:eastAsia="仿宋_GB2312" w:hAnsi="仿宋_GB2312" w:cs="仿宋_GB2312" w:hint="eastAsia"/>
                <w:color w:val="auto"/>
                <w:sz w:val="24"/>
              </w:rPr>
              <w:t>%</w:t>
            </w:r>
          </w:p>
        </w:tc>
        <w:tc>
          <w:tcPr>
            <w:tcW w:w="1094" w:type="dxa"/>
            <w:vAlign w:val="center"/>
          </w:tcPr>
          <w:p w14:paraId="38EA06DF"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20</w:t>
            </w:r>
          </w:p>
        </w:tc>
        <w:tc>
          <w:tcPr>
            <w:tcW w:w="1315" w:type="dxa"/>
            <w:vAlign w:val="center"/>
          </w:tcPr>
          <w:p w14:paraId="05165EEC"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3</w:t>
            </w:r>
            <w:r>
              <w:rPr>
                <w:rFonts w:ascii="仿宋_GB2312" w:eastAsia="仿宋_GB2312" w:hAnsi="仿宋_GB2312" w:cs="仿宋_GB2312" w:hint="eastAsia"/>
                <w:color w:val="auto"/>
                <w:sz w:val="24"/>
                <w:lang w:eastAsia="zh-CN"/>
              </w:rPr>
              <w:t>4</w:t>
            </w:r>
            <w:r>
              <w:rPr>
                <w:rFonts w:ascii="仿宋_GB2312" w:eastAsia="仿宋_GB2312" w:hAnsi="仿宋_GB2312" w:cs="仿宋_GB2312" w:hint="eastAsia"/>
                <w:color w:val="auto"/>
                <w:sz w:val="24"/>
              </w:rPr>
              <w:t>.</w:t>
            </w:r>
            <w:r>
              <w:rPr>
                <w:rFonts w:ascii="仿宋_GB2312" w:eastAsia="仿宋_GB2312" w:hAnsi="仿宋_GB2312" w:cs="仿宋_GB2312" w:hint="eastAsia"/>
                <w:color w:val="auto"/>
                <w:sz w:val="24"/>
                <w:lang w:eastAsia="zh-CN"/>
              </w:rPr>
              <w:t>5</w:t>
            </w:r>
            <w:r>
              <w:rPr>
                <w:rFonts w:ascii="仿宋_GB2312" w:eastAsia="仿宋_GB2312" w:hAnsi="仿宋_GB2312" w:cs="仿宋_GB2312" w:hint="eastAsia"/>
                <w:color w:val="auto"/>
                <w:sz w:val="24"/>
              </w:rPr>
              <w:t>%</w:t>
            </w:r>
          </w:p>
        </w:tc>
        <w:tc>
          <w:tcPr>
            <w:tcW w:w="1322" w:type="dxa"/>
            <w:vAlign w:val="center"/>
          </w:tcPr>
          <w:p w14:paraId="46444945"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lang w:eastAsia="zh-CN"/>
              </w:rPr>
            </w:pPr>
            <w:r>
              <w:rPr>
                <w:rFonts w:ascii="仿宋_GB2312" w:eastAsia="仿宋_GB2312" w:hAnsi="仿宋_GB2312" w:cs="仿宋_GB2312" w:hint="eastAsia"/>
                <w:color w:val="auto"/>
                <w:sz w:val="24"/>
                <w:lang w:eastAsia="zh-CN"/>
              </w:rPr>
              <w:t>58</w:t>
            </w:r>
          </w:p>
        </w:tc>
      </w:tr>
      <w:tr w:rsidR="00B943B8" w14:paraId="3F66DBC9" w14:textId="77777777">
        <w:trPr>
          <w:trHeight w:val="466"/>
          <w:jc w:val="center"/>
        </w:trPr>
        <w:tc>
          <w:tcPr>
            <w:tcW w:w="2040" w:type="dxa"/>
            <w:vAlign w:val="center"/>
          </w:tcPr>
          <w:p w14:paraId="6DBA73EB"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最低选修课要求</w:t>
            </w:r>
            <w:proofErr w:type="spellEnd"/>
          </w:p>
        </w:tc>
        <w:tc>
          <w:tcPr>
            <w:tcW w:w="6115" w:type="dxa"/>
            <w:gridSpan w:val="5"/>
            <w:vAlign w:val="center"/>
          </w:tcPr>
          <w:p w14:paraId="24FE0086"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r>
              <w:rPr>
                <w:rFonts w:ascii="仿宋_GB2312" w:eastAsia="仿宋_GB2312" w:hAnsi="仿宋_GB2312" w:cs="仿宋_GB2312" w:hint="eastAsia"/>
                <w:color w:val="auto"/>
                <w:sz w:val="24"/>
              </w:rPr>
              <w:t>13学分</w:t>
            </w:r>
          </w:p>
        </w:tc>
      </w:tr>
      <w:tr w:rsidR="00B943B8" w14:paraId="18A07982" w14:textId="77777777">
        <w:trPr>
          <w:trHeight w:val="466"/>
          <w:jc w:val="center"/>
        </w:trPr>
        <w:tc>
          <w:tcPr>
            <w:tcW w:w="2040" w:type="dxa"/>
            <w:vAlign w:val="center"/>
          </w:tcPr>
          <w:p w14:paraId="680A9651"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毕业考核要求</w:t>
            </w:r>
            <w:proofErr w:type="spellEnd"/>
          </w:p>
        </w:tc>
        <w:tc>
          <w:tcPr>
            <w:tcW w:w="6115" w:type="dxa"/>
            <w:gridSpan w:val="5"/>
            <w:vAlign w:val="center"/>
          </w:tcPr>
          <w:p w14:paraId="79359BA1" w14:textId="77777777" w:rsidR="00B943B8" w:rsidRDefault="00000000" w:rsidP="009F69A5">
            <w:pPr>
              <w:widowControl w:val="0"/>
              <w:kinsoku/>
              <w:spacing w:line="560" w:lineRule="exact"/>
              <w:jc w:val="center"/>
              <w:rPr>
                <w:rFonts w:ascii="仿宋_GB2312" w:eastAsia="仿宋_GB2312" w:hAnsi="仿宋_GB2312" w:cs="仿宋_GB2312" w:hint="eastAsia"/>
                <w:color w:val="auto"/>
                <w:sz w:val="24"/>
              </w:rPr>
            </w:pPr>
            <w:proofErr w:type="spellStart"/>
            <w:r>
              <w:rPr>
                <w:rFonts w:ascii="仿宋_GB2312" w:eastAsia="仿宋_GB2312" w:hAnsi="仿宋_GB2312" w:cs="仿宋_GB2312" w:hint="eastAsia"/>
                <w:color w:val="auto"/>
                <w:sz w:val="24"/>
              </w:rPr>
              <w:t>学位论文和毕业设计</w:t>
            </w:r>
            <w:proofErr w:type="spellEnd"/>
          </w:p>
        </w:tc>
      </w:tr>
    </w:tbl>
    <w:p w14:paraId="5F623A2E" w14:textId="77777777" w:rsidR="00B943B8" w:rsidRDefault="00000000" w:rsidP="009F69A5">
      <w:pPr>
        <w:widowControl w:val="0"/>
        <w:numPr>
          <w:ilvl w:val="0"/>
          <w:numId w:val="4"/>
        </w:numPr>
        <w:kinsoku/>
        <w:spacing w:line="560" w:lineRule="exact"/>
        <w:ind w:firstLineChars="200" w:firstLine="643"/>
        <w:rPr>
          <w:rFonts w:ascii="楷体_GB2312" w:eastAsia="楷体_GB2312" w:hAnsi="楷体_GB2312" w:cs="楷体_GB2312" w:hint="eastAsia"/>
          <w:b/>
          <w:bCs/>
          <w:color w:val="auto"/>
          <w:sz w:val="32"/>
          <w:szCs w:val="32"/>
        </w:rPr>
      </w:pPr>
      <w:proofErr w:type="spellStart"/>
      <w:r>
        <w:rPr>
          <w:rFonts w:ascii="楷体_GB2312" w:eastAsia="楷体_GB2312" w:hAnsi="楷体_GB2312" w:cs="楷体_GB2312" w:hint="eastAsia"/>
          <w:b/>
          <w:bCs/>
          <w:color w:val="auto"/>
          <w:sz w:val="32"/>
          <w:szCs w:val="32"/>
        </w:rPr>
        <w:t>师资配备</w:t>
      </w:r>
      <w:proofErr w:type="spellEnd"/>
    </w:p>
    <w:p w14:paraId="565EDB43"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担任项目教学的中方教师共62人，其中高级职称教师21人，占比约33.9%，中级职称教师29人，占比约46.8%，博士17人，占比约27.4%，硕士30人，占比约48.4%。多数教师具有中高级职称，多名博士教师具有海外教育背景。</w:t>
      </w:r>
    </w:p>
    <w:p w14:paraId="100E9067"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中外方共同招聘教师选聘标准，要求专业上必须是专业匹配或者相关，以学前教育、心理学为主，学位必须硕士或以上，博士为主，必须具备一定的教育教学经验。</w:t>
      </w:r>
    </w:p>
    <w:p w14:paraId="19C68AF3"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外方定期派遣专业课程教师到我校授课，每名教师讲授2-3门专业课程。担任中外合作办学项目教学任务的外方教师共13人，其中长期在我校任教教师8人，授课教师32人次，教师中高级职称7人，占比53.8%，博士学历教师8人，占比61.5%，硕士学历教师5人，占比38.5%。外方教师参与中方专业学术会议，与教育教师共</w:t>
      </w:r>
      <w:proofErr w:type="gramStart"/>
      <w:r>
        <w:rPr>
          <w:rFonts w:ascii="仿宋_GB2312" w:eastAsia="仿宋_GB2312" w:hAnsi="仿宋_GB2312" w:cs="仿宋_GB2312" w:hint="eastAsia"/>
          <w:color w:val="auto"/>
          <w:sz w:val="32"/>
          <w:szCs w:val="32"/>
          <w:lang w:eastAsia="zh-CN"/>
        </w:rPr>
        <w:t>研</w:t>
      </w:r>
      <w:proofErr w:type="gramEnd"/>
      <w:r>
        <w:rPr>
          <w:rFonts w:ascii="仿宋_GB2312" w:eastAsia="仿宋_GB2312" w:hAnsi="仿宋_GB2312" w:cs="仿宋_GB2312" w:hint="eastAsia"/>
          <w:color w:val="auto"/>
          <w:sz w:val="32"/>
          <w:szCs w:val="32"/>
          <w:lang w:eastAsia="zh-CN"/>
        </w:rPr>
        <w:t>课题。</w:t>
      </w:r>
    </w:p>
    <w:p w14:paraId="70CD4359" w14:textId="77777777" w:rsidR="00B943B8" w:rsidRDefault="00000000" w:rsidP="009F69A5">
      <w:pPr>
        <w:widowControl w:val="0"/>
        <w:numPr>
          <w:ilvl w:val="0"/>
          <w:numId w:val="4"/>
        </w:numPr>
        <w:kinsoku/>
        <w:spacing w:line="560" w:lineRule="exact"/>
        <w:ind w:firstLineChars="200" w:firstLine="643"/>
        <w:rPr>
          <w:rFonts w:ascii="楷体_GB2312" w:eastAsia="楷体_GB2312" w:hAnsi="楷体_GB2312" w:cs="楷体_GB2312" w:hint="eastAsia"/>
          <w:b/>
          <w:bCs/>
          <w:color w:val="auto"/>
          <w:sz w:val="32"/>
          <w:szCs w:val="32"/>
        </w:rPr>
      </w:pPr>
      <w:proofErr w:type="spellStart"/>
      <w:r>
        <w:rPr>
          <w:rFonts w:ascii="楷体_GB2312" w:eastAsia="楷体_GB2312" w:hAnsi="楷体_GB2312" w:cs="楷体_GB2312" w:hint="eastAsia"/>
          <w:b/>
          <w:bCs/>
          <w:color w:val="auto"/>
          <w:sz w:val="32"/>
          <w:szCs w:val="32"/>
        </w:rPr>
        <w:t>教学质量</w:t>
      </w:r>
      <w:proofErr w:type="spellEnd"/>
    </w:p>
    <w:p w14:paraId="0D9D9A95"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中外合作项目班级学风良好，学生英语四级一次性通过率均高于85%，其中2021级学生四级通过率达100%，六级通过率为52.5%，22级学生四级通过率达86%，六级通过率接近30%，23级学生四级通过率达95%，六级通过率为41%，24级学生四级通过率达84%，六级通过率为26%。同时，项目积极参与各类学科竞赛，成绩斐然。截至2025年12月，2021级学前教育中外合作班学生获国家级奖项6项，省级奖项5项，22级学前教育中外合作班学生获国家级奖项26项，省级奖项8项，23级学生获国家级奖项2项，获省级奖项19项，24级学生获国家级奖项1项，省级奖项6项。其中，各类学科竞赛中学生</w:t>
      </w:r>
      <w:proofErr w:type="gramStart"/>
      <w:r>
        <w:rPr>
          <w:rFonts w:ascii="仿宋_GB2312" w:eastAsia="仿宋_GB2312" w:hAnsi="仿宋_GB2312" w:cs="仿宋_GB2312" w:hint="eastAsia"/>
          <w:color w:val="auto"/>
          <w:sz w:val="32"/>
          <w:szCs w:val="32"/>
          <w:lang w:eastAsia="zh-CN"/>
        </w:rPr>
        <w:t>党员获</w:t>
      </w:r>
      <w:proofErr w:type="gramEnd"/>
      <w:r>
        <w:rPr>
          <w:rFonts w:ascii="仿宋_GB2312" w:eastAsia="仿宋_GB2312" w:hAnsi="仿宋_GB2312" w:cs="仿宋_GB2312" w:hint="eastAsia"/>
          <w:color w:val="auto"/>
          <w:sz w:val="32"/>
          <w:szCs w:val="32"/>
          <w:lang w:eastAsia="zh-CN"/>
        </w:rPr>
        <w:t>国家级奖项32人次，省级奖项27人次。</w:t>
      </w:r>
    </w:p>
    <w:p w14:paraId="723FF34F"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在培养措施上，具体做法是：</w:t>
      </w:r>
    </w:p>
    <w:p w14:paraId="1A660BD9"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第一，实施分层次与分阶段教学模式。分层次教学主要指在英语等关键基础课程中，根据学生实际水平与学习需求，实行差异化教学，做到因材施教。分阶段教学则是指将四年的培养过程划分为理论教育与实践教育两个阶段：理论教育阶段着重夯实学生的知识基础，致力于实现“学会做人、学会学习、学会生活、学会生存”的育人目标；实践教育阶段则在传授专业知识的同时，重点培养学生的职业技能、创新思维以及分析问题、解决问题的能力，最终达成“</w:t>
      </w:r>
      <w:proofErr w:type="gramStart"/>
      <w:r>
        <w:rPr>
          <w:rFonts w:ascii="仿宋_GB2312" w:eastAsia="仿宋_GB2312" w:hAnsi="仿宋_GB2312" w:cs="仿宋_GB2312" w:hint="eastAsia"/>
          <w:color w:val="auto"/>
          <w:sz w:val="32"/>
          <w:szCs w:val="32"/>
          <w:lang w:eastAsia="zh-CN"/>
        </w:rPr>
        <w:t>践行</w:t>
      </w:r>
      <w:proofErr w:type="gramEnd"/>
      <w:r>
        <w:rPr>
          <w:rFonts w:ascii="仿宋_GB2312" w:eastAsia="仿宋_GB2312" w:hAnsi="仿宋_GB2312" w:cs="仿宋_GB2312" w:hint="eastAsia"/>
          <w:color w:val="auto"/>
          <w:sz w:val="32"/>
          <w:szCs w:val="32"/>
          <w:lang w:eastAsia="zh-CN"/>
        </w:rPr>
        <w:t>师德、学会教育、学会育人、学会发展”的毕业要求。</w:t>
      </w:r>
    </w:p>
    <w:p w14:paraId="57E137E8"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第二，中外教师协同合作。课堂教育教学方面，每位外方教师都有一位有经验的中方助教</w:t>
      </w:r>
      <w:proofErr w:type="gramStart"/>
      <w:r>
        <w:rPr>
          <w:rFonts w:ascii="仿宋_GB2312" w:eastAsia="仿宋_GB2312" w:hAnsi="仿宋_GB2312" w:cs="仿宋_GB2312" w:hint="eastAsia"/>
          <w:color w:val="auto"/>
          <w:sz w:val="32"/>
          <w:szCs w:val="32"/>
          <w:lang w:eastAsia="zh-CN"/>
        </w:rPr>
        <w:t>全程伴教伴学</w:t>
      </w:r>
      <w:proofErr w:type="gramEnd"/>
      <w:r>
        <w:rPr>
          <w:rFonts w:ascii="仿宋_GB2312" w:eastAsia="仿宋_GB2312" w:hAnsi="仿宋_GB2312" w:cs="仿宋_GB2312" w:hint="eastAsia"/>
          <w:color w:val="auto"/>
          <w:sz w:val="32"/>
          <w:szCs w:val="32"/>
          <w:lang w:eastAsia="zh-CN"/>
        </w:rPr>
        <w:t>，中方教师重点培养学生专业基础知识、实践应用能力与育人教育，外方教师重点培养学生国际化专业知识与创新能力，实现中外教师优势互补，形成高质量教学育人新局面。</w:t>
      </w:r>
    </w:p>
    <w:p w14:paraId="762AA255"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第三，创新多样化的教学方式。课堂教学以理论传授、课堂讨论、小组研讨、作品展示等方式进行，结合学习通、智慧树等数字资源，开展翻转课堂等教学方式，提高学习参与度和教学效果。</w:t>
      </w:r>
    </w:p>
    <w:p w14:paraId="5CA29C06"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第四，推动学以致用能力提升。教学过程中坚持理论与实践相结合，做到“教学做合一”，开展教育见习、保育实习、教育实习、教育研习，确保在实践中提升解决问题的能力。</w:t>
      </w:r>
    </w:p>
    <w:p w14:paraId="654889D7"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第五，持续改进考核考试环节。考试实行过程性评价与结果性评价相结合，注重过程性评价。过程性评价注重考核学生实践环节的应用能力，结果性评价注重考核学生对基础知识的掌握情况。</w:t>
      </w:r>
    </w:p>
    <w:p w14:paraId="2ADCDA05" w14:textId="77777777" w:rsidR="00B943B8" w:rsidRDefault="00000000" w:rsidP="009F69A5">
      <w:pPr>
        <w:widowControl w:val="0"/>
        <w:kinsoku/>
        <w:spacing w:line="560" w:lineRule="exact"/>
        <w:ind w:firstLineChars="200" w:firstLine="640"/>
        <w:rPr>
          <w:rFonts w:ascii="黑体" w:eastAsia="黑体" w:hAnsi="黑体" w:cs="黑体" w:hint="eastAsia"/>
          <w:color w:val="auto"/>
          <w:sz w:val="32"/>
          <w:szCs w:val="32"/>
          <w:lang w:eastAsia="zh-CN"/>
        </w:rPr>
      </w:pPr>
      <w:r>
        <w:rPr>
          <w:rFonts w:ascii="黑体" w:eastAsia="黑体" w:hAnsi="黑体" w:cs="黑体" w:hint="eastAsia"/>
          <w:color w:val="auto"/>
          <w:sz w:val="32"/>
          <w:szCs w:val="32"/>
          <w:lang w:eastAsia="zh-CN"/>
        </w:rPr>
        <w:t>四、人才培养成效情况</w:t>
      </w:r>
    </w:p>
    <w:p w14:paraId="75A4AE48" w14:textId="77777777" w:rsidR="00B943B8" w:rsidRDefault="00000000" w:rsidP="009F69A5">
      <w:pPr>
        <w:widowControl w:val="0"/>
        <w:numPr>
          <w:ilvl w:val="0"/>
          <w:numId w:val="5"/>
        </w:numPr>
        <w:kinsoku/>
        <w:spacing w:line="560" w:lineRule="exact"/>
        <w:ind w:firstLineChars="200" w:firstLine="643"/>
        <w:rPr>
          <w:rFonts w:ascii="楷体_GB2312" w:eastAsia="楷体_GB2312" w:hAnsi="楷体_GB2312" w:cs="楷体_GB2312" w:hint="eastAsia"/>
          <w:b/>
          <w:bCs/>
          <w:color w:val="auto"/>
          <w:sz w:val="32"/>
          <w:szCs w:val="32"/>
        </w:rPr>
      </w:pPr>
      <w:proofErr w:type="spellStart"/>
      <w:r>
        <w:rPr>
          <w:rFonts w:ascii="楷体_GB2312" w:eastAsia="楷体_GB2312" w:hAnsi="楷体_GB2312" w:cs="楷体_GB2312" w:hint="eastAsia"/>
          <w:b/>
          <w:bCs/>
          <w:color w:val="auto"/>
          <w:sz w:val="32"/>
          <w:szCs w:val="32"/>
        </w:rPr>
        <w:t>培养目标达成情况</w:t>
      </w:r>
      <w:proofErr w:type="spellEnd"/>
    </w:p>
    <w:p w14:paraId="49BEF066"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本项目自设立以来，始终以培养具有扎实专业知识、宽广的国际视野和跨文化交流能力、深厚的人文底蕴和科学精神的高素质学前教育专业人才为目标。经过多年的探索与实践，人才培养目标已在生源质量、培养过程等方面得到较好落实。</w:t>
      </w:r>
    </w:p>
    <w:p w14:paraId="3D1956CA"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 xml:space="preserve">在生源方面，项目面向湖北、浙江、广东、江苏四省招生，每年吸引一批具有较好学业水平和发展潜力的学生报考，历年录取率均为100%。录取分数线总体保持在同类专业较高水平，生源基础稳定，为后续培养提供了保障。 </w:t>
      </w:r>
    </w:p>
    <w:p w14:paraId="10236624"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在培养过程中，中外双方共同制定培养方案，融合国内学前教育课程体系与国际先进教育理念，形成了既符合中国国情，又能体现国际特色的课程结构。项目采用“4+0”模式，25</w:t>
      </w:r>
      <w:proofErr w:type="gramStart"/>
      <w:r>
        <w:rPr>
          <w:rFonts w:ascii="仿宋_GB2312" w:eastAsia="仿宋_GB2312" w:hAnsi="仿宋_GB2312" w:cs="仿宋_GB2312" w:hint="eastAsia"/>
          <w:color w:val="auto"/>
          <w:sz w:val="32"/>
          <w:szCs w:val="32"/>
          <w:lang w:eastAsia="zh-CN"/>
        </w:rPr>
        <w:t>版人才</w:t>
      </w:r>
      <w:proofErr w:type="gramEnd"/>
      <w:r>
        <w:rPr>
          <w:rFonts w:ascii="仿宋_GB2312" w:eastAsia="仿宋_GB2312" w:hAnsi="仿宋_GB2312" w:cs="仿宋_GB2312" w:hint="eastAsia"/>
          <w:color w:val="auto"/>
          <w:sz w:val="32"/>
          <w:szCs w:val="32"/>
          <w:lang w:eastAsia="zh-CN"/>
        </w:rPr>
        <w:t>培养方案将引入美方20门核心课程（占课程总数34.5%），外教授课门数与学时数均超过三分之一，符合中外合作办学“四个三分之一”要求。教学中注重理论与实践结合，课程涵盖教育学、心理学、学前儿童认知发展与集成课程、学前教育专业技能等多方面内容。通过课堂学习、见习实习、学术讲座与研修活动，学生能够逐步形成扎实的专业基础和较强的教育实践能力。课程评价注重过程性与能力导向，外方课程由美方直接命题、全英文考核，全面保障教学质量。通过学习，学生能力显著提升，截至2025年12月31日，学生在国家级、省级竞赛中获奖频繁，如“中国国际大学生创新大赛”“全国大学生英语竞赛”等，共获得奖项73项，体现了较强的综合竞争力。本年度共有5名同学选择2+2，在美国东北州立大学学习，拓展了学术能力与专业视野的拓展。</w:t>
      </w:r>
    </w:p>
    <w:p w14:paraId="391235FD"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总体而言，本年度项目完成一个周期的培养，项目的人才培养目标均已实现，学生在专业素养、教育实践和国际视野等方面得到了有效提升，体现了合作办学在提升人才培养质量上的独特优势。</w:t>
      </w:r>
    </w:p>
    <w:p w14:paraId="0AAE0C9F" w14:textId="77777777" w:rsidR="00B943B8" w:rsidRDefault="00000000" w:rsidP="009F69A5">
      <w:pPr>
        <w:widowControl w:val="0"/>
        <w:numPr>
          <w:ilvl w:val="0"/>
          <w:numId w:val="5"/>
        </w:numPr>
        <w:kinsoku/>
        <w:spacing w:line="560" w:lineRule="exact"/>
        <w:ind w:firstLineChars="200" w:firstLine="643"/>
        <w:rPr>
          <w:rFonts w:ascii="楷体_GB2312" w:eastAsia="楷体_GB2312" w:hAnsi="楷体_GB2312" w:cs="楷体_GB2312" w:hint="eastAsia"/>
          <w:b/>
          <w:bCs/>
          <w:color w:val="auto"/>
          <w:sz w:val="32"/>
          <w:szCs w:val="32"/>
        </w:rPr>
      </w:pPr>
      <w:proofErr w:type="spellStart"/>
      <w:r>
        <w:rPr>
          <w:rFonts w:ascii="楷体_GB2312" w:eastAsia="楷体_GB2312" w:hAnsi="楷体_GB2312" w:cs="楷体_GB2312" w:hint="eastAsia"/>
          <w:b/>
          <w:bCs/>
          <w:color w:val="auto"/>
          <w:sz w:val="32"/>
          <w:szCs w:val="32"/>
        </w:rPr>
        <w:t>学生发展支持体系建设</w:t>
      </w:r>
      <w:proofErr w:type="spellEnd"/>
    </w:p>
    <w:p w14:paraId="5226DDD8"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学院党委书记直接分管学前教育中外合作办学项目工作，有利于协调项目管理与学生发展支持。</w:t>
      </w:r>
    </w:p>
    <w:p w14:paraId="38197625"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项目运行设有学前合作项目协调员，负责项目教学与管理的对外联络与协调、项目质量监控和引导学生专业发展、项目档案整理和新生中、外方注册、编制项目年度预算、完成年度评估与合格性评估报告。</w:t>
      </w:r>
    </w:p>
    <w:p w14:paraId="43D638A4"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学前项目班导师，负责常规学生工作和学生海外留学期间的国内学籍管理与留学生跟踪管理工作。</w:t>
      </w:r>
    </w:p>
    <w:p w14:paraId="0C47C532"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班级管理方面，每个班级配备有专职辅导员负责安全与</w:t>
      </w:r>
      <w:proofErr w:type="gramStart"/>
      <w:r>
        <w:rPr>
          <w:rFonts w:ascii="仿宋_GB2312" w:eastAsia="仿宋_GB2312" w:hAnsi="仿宋_GB2312" w:cs="仿宋_GB2312" w:hint="eastAsia"/>
          <w:color w:val="auto"/>
          <w:sz w:val="32"/>
          <w:szCs w:val="32"/>
          <w:lang w:eastAsia="zh-CN"/>
        </w:rPr>
        <w:t>思政教育</w:t>
      </w:r>
      <w:proofErr w:type="gramEnd"/>
      <w:r>
        <w:rPr>
          <w:rFonts w:ascii="仿宋_GB2312" w:eastAsia="仿宋_GB2312" w:hAnsi="仿宋_GB2312" w:cs="仿宋_GB2312" w:hint="eastAsia"/>
          <w:color w:val="auto"/>
          <w:sz w:val="32"/>
          <w:szCs w:val="32"/>
          <w:lang w:eastAsia="zh-CN"/>
        </w:rPr>
        <w:t>工作。</w:t>
      </w:r>
    </w:p>
    <w:p w14:paraId="3864CBEF"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外语教学方面，除了学院英语听说读写分项课程之外，学校通过政府招标方式引进新东方教育集团开展</w:t>
      </w:r>
      <w:proofErr w:type="gramStart"/>
      <w:r>
        <w:rPr>
          <w:rFonts w:ascii="仿宋_GB2312" w:eastAsia="仿宋_GB2312" w:hAnsi="仿宋_GB2312" w:cs="仿宋_GB2312" w:hint="eastAsia"/>
          <w:color w:val="auto"/>
          <w:sz w:val="32"/>
          <w:szCs w:val="32"/>
          <w:lang w:eastAsia="zh-CN"/>
        </w:rPr>
        <w:t>雅思能力</w:t>
      </w:r>
      <w:proofErr w:type="gramEnd"/>
      <w:r>
        <w:rPr>
          <w:rFonts w:ascii="仿宋_GB2312" w:eastAsia="仿宋_GB2312" w:hAnsi="仿宋_GB2312" w:cs="仿宋_GB2312" w:hint="eastAsia"/>
          <w:color w:val="auto"/>
          <w:sz w:val="32"/>
          <w:szCs w:val="32"/>
          <w:lang w:eastAsia="zh-CN"/>
        </w:rPr>
        <w:t>强化培训。</w:t>
      </w:r>
    </w:p>
    <w:p w14:paraId="0DF04F38"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外籍教师授课方面，学院配备中方专业老师担任助教，保障美方课程的面授教学效果。</w:t>
      </w:r>
    </w:p>
    <w:p w14:paraId="571BBE15"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专业实验室建设方面，进一步提升学前教育中外合作办学教学环境与条件，学校投入专项资金600万元完成学前教育专业实训室建设项目，包括音乐、美术、舞蹈、书法等分功能实验室等共10间，能够较好地满足学前教育专业人才培养与师范专业认证对标的实训支撑体系要求，为本项目的课程教学与教学实践提供了优质的条件保障。</w:t>
      </w:r>
    </w:p>
    <w:p w14:paraId="5E5801F2" w14:textId="77777777" w:rsidR="00B943B8" w:rsidRDefault="00000000" w:rsidP="009F69A5">
      <w:pPr>
        <w:widowControl w:val="0"/>
        <w:numPr>
          <w:ilvl w:val="0"/>
          <w:numId w:val="5"/>
        </w:numPr>
        <w:kinsoku/>
        <w:spacing w:line="560" w:lineRule="exact"/>
        <w:ind w:firstLineChars="200" w:firstLine="643"/>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学生国际视野与跨文化交流能力培养与实习实践等</w:t>
      </w:r>
    </w:p>
    <w:p w14:paraId="714F8457"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通过项目学习，学生的专业发展潜力和国际视野得到扩展。我校积极开拓学前教育中外合作办学项目与新加坡执政党——人民行动党社区基金会（PCF）的教育合作，签署了学前教育合作交流协议，并在新加坡挂牌“湖北第二师范学院学前教育专业海外就业基地”。</w:t>
      </w:r>
    </w:p>
    <w:p w14:paraId="1294FF3C" w14:textId="77777777" w:rsidR="00B943B8" w:rsidRDefault="00000000" w:rsidP="009F69A5">
      <w:pPr>
        <w:widowControl w:val="0"/>
        <w:spacing w:line="560" w:lineRule="exact"/>
        <w:ind w:leftChars="200" w:left="420"/>
        <w:rPr>
          <w:rFonts w:ascii="楷体_GB2312" w:eastAsia="楷体_GB2312" w:hAnsi="楷体_GB2312" w:cs="楷体_GB2312" w:hint="eastAsia"/>
          <w:b/>
          <w:bCs/>
          <w:sz w:val="32"/>
          <w:szCs w:val="32"/>
          <w:lang w:eastAsia="zh-CN"/>
        </w:rPr>
      </w:pPr>
      <w:r>
        <w:rPr>
          <w:rFonts w:ascii="楷体_GB2312" w:eastAsia="楷体_GB2312" w:hAnsi="楷体_GB2312" w:cs="楷体_GB2312" w:hint="eastAsia"/>
          <w:b/>
          <w:bCs/>
          <w:sz w:val="32"/>
          <w:szCs w:val="32"/>
          <w:lang w:eastAsia="zh-CN"/>
        </w:rPr>
        <w:t>（四）升学与就业</w:t>
      </w:r>
    </w:p>
    <w:p w14:paraId="79105D90" w14:textId="77777777" w:rsidR="00B943B8" w:rsidRDefault="00000000" w:rsidP="009F69A5">
      <w:pPr>
        <w:widowControl w:val="0"/>
        <w:kinsoku/>
        <w:spacing w:line="560" w:lineRule="exact"/>
        <w:ind w:firstLineChars="200" w:firstLine="640"/>
        <w:jc w:val="both"/>
        <w:rPr>
          <w:rFonts w:ascii="仿宋_GB2312" w:eastAsia="仿宋_GB2312"/>
          <w:color w:val="auto"/>
          <w:sz w:val="32"/>
          <w:szCs w:val="32"/>
          <w:lang w:eastAsia="zh-CN"/>
        </w:rPr>
      </w:pPr>
      <w:r>
        <w:rPr>
          <w:rFonts w:ascii="仿宋_GB2312" w:eastAsia="仿宋_GB2312" w:hint="eastAsia"/>
          <w:color w:val="auto"/>
          <w:sz w:val="32"/>
          <w:szCs w:val="32"/>
          <w:lang w:eastAsia="zh-CN"/>
        </w:rPr>
        <w:t>2025年首届毕业生58人，其中21人考取硕士研究生，升学率36.2%。其中8人录取国内高校</w:t>
      </w:r>
      <w:r>
        <w:rPr>
          <w:rFonts w:ascii="仿宋_GB2312" w:eastAsia="仿宋_GB2312"/>
          <w:color w:val="auto"/>
          <w:sz w:val="32"/>
          <w:szCs w:val="32"/>
          <w:lang w:eastAsia="zh-CN"/>
        </w:rPr>
        <w:t>,</w:t>
      </w:r>
      <w:r>
        <w:rPr>
          <w:rFonts w:ascii="仿宋_GB2312" w:eastAsia="仿宋_GB2312" w:hint="eastAsia"/>
          <w:color w:val="auto"/>
          <w:sz w:val="32"/>
          <w:szCs w:val="32"/>
          <w:lang w:eastAsia="zh-CN"/>
        </w:rPr>
        <w:t>如北京理工大学、武汉理工大学等，13人获境外名校录取，如英国格拉斯哥大学、香港教育大学等。毕业生中，4人签约新加坡人民行动党社区基金会(PCF)，2人获美国0PT工作签证，实现高质量海外就业。整体就业率保持在较高水平，达96.55%。毕业生进入省内外公办园、优质民办园、早</w:t>
      </w:r>
      <w:proofErr w:type="gramStart"/>
      <w:r>
        <w:rPr>
          <w:rFonts w:ascii="仿宋_GB2312" w:eastAsia="仿宋_GB2312" w:hint="eastAsia"/>
          <w:color w:val="auto"/>
          <w:sz w:val="32"/>
          <w:szCs w:val="32"/>
          <w:lang w:eastAsia="zh-CN"/>
        </w:rPr>
        <w:t>教机构</w:t>
      </w:r>
      <w:proofErr w:type="gramEnd"/>
      <w:r>
        <w:rPr>
          <w:rFonts w:ascii="仿宋_GB2312" w:eastAsia="仿宋_GB2312" w:hint="eastAsia"/>
          <w:color w:val="auto"/>
          <w:sz w:val="32"/>
          <w:szCs w:val="32"/>
          <w:lang w:eastAsia="zh-CN"/>
        </w:rPr>
        <w:t>及教育培训行业，部分学生进入教育管理与培训领域，发挥了专业优势，获得用人单位的普遍认可。</w:t>
      </w:r>
    </w:p>
    <w:p w14:paraId="03E24312" w14:textId="77777777" w:rsidR="00B943B8" w:rsidRDefault="00000000" w:rsidP="009F69A5">
      <w:pPr>
        <w:pStyle w:val="a4"/>
        <w:widowControl w:val="0"/>
        <w:kinsoku/>
        <w:spacing w:line="560" w:lineRule="exact"/>
        <w:ind w:firstLineChars="199" w:firstLine="637"/>
        <w:jc w:val="both"/>
        <w:rPr>
          <w:rFonts w:ascii="黑体" w:eastAsia="黑体" w:hAnsi="黑体" w:hint="eastAsia"/>
          <w:color w:val="auto"/>
          <w:sz w:val="32"/>
          <w:szCs w:val="32"/>
          <w:lang w:eastAsia="zh-CN"/>
        </w:rPr>
      </w:pPr>
      <w:r>
        <w:rPr>
          <w:rFonts w:ascii="黑体" w:eastAsia="黑体" w:hAnsi="黑体" w:cs="黑体"/>
          <w:color w:val="auto"/>
          <w:kern w:val="2"/>
          <w:sz w:val="32"/>
          <w:szCs w:val="32"/>
          <w:lang w:eastAsia="zh-CN"/>
        </w:rPr>
        <w:t>五、财务管理情况</w:t>
      </w:r>
    </w:p>
    <w:p w14:paraId="1A33B06E" w14:textId="77777777" w:rsidR="00B943B8" w:rsidRDefault="00000000" w:rsidP="009F69A5">
      <w:pPr>
        <w:widowControl w:val="0"/>
        <w:kinsoku/>
        <w:spacing w:line="560" w:lineRule="exact"/>
        <w:ind w:firstLineChars="200" w:firstLine="640"/>
        <w:jc w:val="both"/>
        <w:rPr>
          <w:rFonts w:ascii="仿宋_GB2312" w:eastAsia="仿宋_GB2312" w:hAnsi="仿宋_GB2312" w:cs="仿宋_GB2312" w:hint="eastAsia"/>
          <w:color w:val="auto"/>
          <w:sz w:val="32"/>
          <w:szCs w:val="32"/>
          <w:lang w:eastAsia="zh-CN"/>
        </w:rPr>
      </w:pPr>
      <w:r>
        <w:rPr>
          <w:rFonts w:ascii="仿宋_GB2312" w:eastAsia="仿宋_GB2312" w:hint="eastAsia"/>
          <w:color w:val="auto"/>
          <w:sz w:val="32"/>
          <w:szCs w:val="32"/>
          <w:lang w:eastAsia="zh-CN"/>
        </w:rPr>
        <w:t>本项目坚定不移坚持中外合作办学的非营利性原则，严格遵守国家有关规定，根据湖北省物价局批复的收费许可证中的标准，并按照学校的财务管理制度执行，收费标准均在湖北第二师范学院财务</w:t>
      </w:r>
      <w:proofErr w:type="gramStart"/>
      <w:r>
        <w:rPr>
          <w:rFonts w:ascii="仿宋_GB2312" w:eastAsia="仿宋_GB2312" w:hint="eastAsia"/>
          <w:color w:val="auto"/>
          <w:sz w:val="32"/>
          <w:szCs w:val="32"/>
          <w:lang w:eastAsia="zh-CN"/>
        </w:rPr>
        <w:t>处官网及</w:t>
      </w:r>
      <w:proofErr w:type="gramEnd"/>
      <w:r>
        <w:rPr>
          <w:rFonts w:ascii="仿宋_GB2312" w:eastAsia="仿宋_GB2312" w:hint="eastAsia"/>
          <w:color w:val="auto"/>
          <w:sz w:val="32"/>
          <w:szCs w:val="32"/>
          <w:lang w:eastAsia="zh-CN"/>
        </w:rPr>
        <w:t>湖北第二师范学院信息公开网进行公示。按照审批、公示、收费的工作程序，按学年收取学费和住宿费。</w:t>
      </w:r>
      <w:r>
        <w:rPr>
          <w:rFonts w:ascii="仿宋_GB2312" w:eastAsia="仿宋_GB2312" w:hAnsi="仿宋_GB2312" w:cs="仿宋_GB2312" w:hint="eastAsia"/>
          <w:color w:val="auto"/>
          <w:sz w:val="32"/>
          <w:szCs w:val="32"/>
          <w:lang w:eastAsia="zh-CN"/>
        </w:rPr>
        <w:t>本项目设立专项经费项目，财务收支核算由学校财务处统一管理，</w:t>
      </w:r>
      <w:r>
        <w:rPr>
          <w:rFonts w:ascii="仿宋_GB2312" w:eastAsia="仿宋_GB2312" w:hint="eastAsia"/>
          <w:color w:val="auto"/>
          <w:sz w:val="32"/>
          <w:szCs w:val="32"/>
          <w:lang w:eastAsia="zh-CN"/>
        </w:rPr>
        <w:t>收取的费用全部用于本项目教育教学、办学成本以及改善办学条件等的支出。</w:t>
      </w:r>
    </w:p>
    <w:p w14:paraId="4C0429DA" w14:textId="77777777" w:rsidR="00B943B8" w:rsidRDefault="00000000" w:rsidP="009F69A5">
      <w:pPr>
        <w:widowControl w:val="0"/>
        <w:numPr>
          <w:ilvl w:val="0"/>
          <w:numId w:val="6"/>
        </w:numPr>
        <w:kinsoku/>
        <w:spacing w:line="560" w:lineRule="exact"/>
        <w:ind w:firstLineChars="200" w:firstLine="640"/>
        <w:rPr>
          <w:rFonts w:ascii="黑体" w:eastAsia="黑体" w:hAnsi="黑体" w:cs="黑体" w:hint="eastAsia"/>
          <w:color w:val="auto"/>
          <w:sz w:val="32"/>
          <w:szCs w:val="32"/>
        </w:rPr>
      </w:pPr>
      <w:proofErr w:type="spellStart"/>
      <w:r>
        <w:rPr>
          <w:rFonts w:ascii="黑体" w:eastAsia="黑体" w:hAnsi="黑体" w:cs="黑体" w:hint="eastAsia"/>
          <w:color w:val="auto"/>
          <w:sz w:val="32"/>
          <w:szCs w:val="32"/>
        </w:rPr>
        <w:t>组织管理情况</w:t>
      </w:r>
      <w:proofErr w:type="spellEnd"/>
    </w:p>
    <w:p w14:paraId="56C66B62" w14:textId="77777777" w:rsidR="00B943B8" w:rsidRDefault="00000000" w:rsidP="009F69A5">
      <w:pPr>
        <w:widowControl w:val="0"/>
        <w:kinsoku/>
        <w:spacing w:line="560" w:lineRule="exact"/>
        <w:ind w:firstLineChars="200" w:firstLine="643"/>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（一）双方联合管理体制机制运行情况</w:t>
      </w:r>
    </w:p>
    <w:p w14:paraId="15126A9E" w14:textId="77777777" w:rsidR="00B943B8" w:rsidRDefault="00000000" w:rsidP="009F69A5">
      <w:pPr>
        <w:widowControl w:val="0"/>
        <w:kinsoku/>
        <w:spacing w:line="560" w:lineRule="exact"/>
        <w:ind w:firstLineChars="200" w:firstLine="640"/>
        <w:jc w:val="both"/>
        <w:rPr>
          <w:rFonts w:ascii="仿宋_GB2312" w:eastAsia="仿宋_GB2312"/>
          <w:color w:val="auto"/>
          <w:sz w:val="32"/>
          <w:szCs w:val="32"/>
          <w:lang w:eastAsia="zh-CN"/>
        </w:rPr>
      </w:pPr>
      <w:r>
        <w:rPr>
          <w:rFonts w:ascii="仿宋_GB2312" w:eastAsia="仿宋_GB2312" w:hint="eastAsia"/>
          <w:color w:val="auto"/>
          <w:sz w:val="32"/>
          <w:szCs w:val="32"/>
          <w:lang w:eastAsia="zh-CN"/>
        </w:rPr>
        <w:t>根据我校与外方联合签订的办学协议，合作双方共同组建联合管理委员会，委员会主任由我校校长担任，外方校长担任副主任。联合管理委员会作为本项目的重要管理机构，在开展中外合作办学的过程中，坚决贯彻党的教育方针，严格履行办学职能，在重大决策、运行管理、专业建设、课程建设等方面发挥决策作用。</w:t>
      </w:r>
    </w:p>
    <w:p w14:paraId="7E90E4F8" w14:textId="77777777" w:rsidR="00B943B8" w:rsidRDefault="00000000" w:rsidP="009F69A5">
      <w:pPr>
        <w:widowControl w:val="0"/>
        <w:kinsoku/>
        <w:spacing w:line="560" w:lineRule="exact"/>
        <w:ind w:firstLineChars="200" w:firstLine="640"/>
        <w:jc w:val="both"/>
        <w:rPr>
          <w:rFonts w:ascii="仿宋_GB2312" w:eastAsia="仿宋_GB2312"/>
          <w:color w:val="auto"/>
          <w:sz w:val="32"/>
          <w:szCs w:val="32"/>
          <w:lang w:eastAsia="zh-CN"/>
        </w:rPr>
      </w:pPr>
      <w:r>
        <w:rPr>
          <w:rFonts w:ascii="仿宋_GB2312" w:eastAsia="仿宋_GB2312" w:hint="eastAsia"/>
          <w:color w:val="auto"/>
          <w:sz w:val="32"/>
          <w:szCs w:val="32"/>
          <w:lang w:eastAsia="zh-CN"/>
        </w:rPr>
        <w:t>本年度，联合管理委员会进一步完善“定期会商+专题研讨”的运行机制，除年度例会外，针对首届毕业生就业质量分析、2025</w:t>
      </w:r>
      <w:proofErr w:type="gramStart"/>
      <w:r>
        <w:rPr>
          <w:rFonts w:ascii="仿宋_GB2312" w:eastAsia="仿宋_GB2312" w:hint="eastAsia"/>
          <w:color w:val="auto"/>
          <w:sz w:val="32"/>
          <w:szCs w:val="32"/>
          <w:lang w:eastAsia="zh-CN"/>
        </w:rPr>
        <w:t>版人才</w:t>
      </w:r>
      <w:proofErr w:type="gramEnd"/>
      <w:r>
        <w:rPr>
          <w:rFonts w:ascii="仿宋_GB2312" w:eastAsia="仿宋_GB2312" w:hint="eastAsia"/>
          <w:color w:val="auto"/>
          <w:sz w:val="32"/>
          <w:szCs w:val="32"/>
          <w:lang w:eastAsia="zh-CN"/>
        </w:rPr>
        <w:t>培养方案修订等重点工作召开专题会议。学校国际交流与合作处、教务处、招生就业处、质量评估处、财务处等部门按照职责分工参与项目管理。教育科学学院全面负责项目运行与管理，包括专业建设、培养方案、资源引进、师资配备、教师培训、实验室建设、教学管理与项目评估等。国际交流与合作处具体负责协议磋商、工作协调、外教聘请与管理等。项目管理机制运行良好。</w:t>
      </w:r>
    </w:p>
    <w:p w14:paraId="17ACF96E" w14:textId="77777777" w:rsidR="00B943B8" w:rsidRDefault="00000000" w:rsidP="009F69A5">
      <w:pPr>
        <w:widowControl w:val="0"/>
        <w:kinsoku/>
        <w:spacing w:line="560" w:lineRule="exact"/>
        <w:ind w:firstLineChars="100" w:firstLine="321"/>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（二）制度建设管理情况</w:t>
      </w:r>
    </w:p>
    <w:p w14:paraId="61E9A3D6" w14:textId="77777777" w:rsidR="00B943B8" w:rsidRDefault="00000000" w:rsidP="009F69A5">
      <w:pPr>
        <w:widowControl w:val="0"/>
        <w:kinsoku/>
        <w:spacing w:line="560" w:lineRule="exact"/>
        <w:ind w:firstLineChars="200" w:firstLine="640"/>
        <w:jc w:val="both"/>
        <w:rPr>
          <w:rFonts w:ascii="仿宋_GB2312" w:eastAsia="仿宋_GB2312"/>
          <w:color w:val="auto"/>
          <w:sz w:val="32"/>
          <w:szCs w:val="32"/>
          <w:lang w:eastAsia="zh-CN"/>
        </w:rPr>
      </w:pPr>
      <w:r>
        <w:rPr>
          <w:rFonts w:ascii="仿宋_GB2312" w:eastAsia="仿宋_GB2312" w:hint="eastAsia"/>
          <w:color w:val="auto"/>
          <w:sz w:val="32"/>
          <w:szCs w:val="32"/>
          <w:lang w:eastAsia="zh-CN"/>
        </w:rPr>
        <w:t>中外合作办学项目管理按《中外合作办学项目管理办法》和《本科生赴国（境）外交流学习管理办法》执行。项目外方教师聘任与管理按《湖北第二师范学院外籍教师聘任与管理办法》执行。以学生为中心，依据毕业要求，建立教学过程质量常态化监控机制。教学过程质量常态化监控和评价以制度为保障，校级制度有《教学工作条例》《教学质量监控实施办法》等，院级制度有《毕业要求达成情况评价机制与办法》《平时成绩考核管理办法》等。各项制度根据专业认证和评估等反馈结果及时修订，保障学生全方位发展，人才培养质量和办学水平不断提升。</w:t>
      </w:r>
    </w:p>
    <w:p w14:paraId="5B3F2F65" w14:textId="77777777" w:rsidR="00B943B8" w:rsidRDefault="00000000" w:rsidP="009F69A5">
      <w:pPr>
        <w:widowControl w:val="0"/>
        <w:kinsoku/>
        <w:spacing w:line="560" w:lineRule="exact"/>
        <w:ind w:firstLineChars="100" w:firstLine="321"/>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（三）管理团队（服务）情况</w:t>
      </w:r>
    </w:p>
    <w:p w14:paraId="220A09B0" w14:textId="77777777" w:rsidR="00B943B8" w:rsidRDefault="00000000" w:rsidP="009F69A5">
      <w:pPr>
        <w:widowControl w:val="0"/>
        <w:kinsoku/>
        <w:spacing w:line="560" w:lineRule="exact"/>
        <w:ind w:firstLineChars="200" w:firstLine="640"/>
        <w:jc w:val="both"/>
        <w:rPr>
          <w:rFonts w:ascii="仿宋_GB2312" w:eastAsia="仿宋_GB2312"/>
          <w:color w:val="auto"/>
          <w:sz w:val="32"/>
          <w:szCs w:val="32"/>
          <w:lang w:eastAsia="zh-CN"/>
        </w:rPr>
      </w:pPr>
      <w:r>
        <w:rPr>
          <w:rFonts w:ascii="仿宋_GB2312" w:eastAsia="仿宋_GB2312" w:hint="eastAsia"/>
          <w:color w:val="auto"/>
          <w:sz w:val="32"/>
          <w:szCs w:val="32"/>
          <w:lang w:eastAsia="zh-CN"/>
        </w:rPr>
        <w:t>联合管理委员会每年至少召开一次面对面的年度工作会议，研究项目招生、教学质量、教师研修、学生留学、培养方案修订、年度评估、项目深化等内容。美方校领导每年出席项目开学典礼。此外，每年4月份，两校联合举办一次面对面的家校协作会议，向家长汇报项目办学情况和沟通学生发展方面的事宜。针对首届毕业生，建立“一人一档”就业跟踪档案，实行“辅导员+论文指导教师”双责任</w:t>
      </w:r>
      <w:proofErr w:type="gramStart"/>
      <w:r>
        <w:rPr>
          <w:rFonts w:ascii="仿宋_GB2312" w:eastAsia="仿宋_GB2312" w:hint="eastAsia"/>
          <w:color w:val="auto"/>
          <w:sz w:val="32"/>
          <w:szCs w:val="32"/>
          <w:lang w:eastAsia="zh-CN"/>
        </w:rPr>
        <w:t>人制</w:t>
      </w:r>
      <w:proofErr w:type="gramEnd"/>
      <w:r>
        <w:rPr>
          <w:rFonts w:ascii="仿宋_GB2312" w:eastAsia="仿宋_GB2312" w:hint="eastAsia"/>
          <w:color w:val="auto"/>
          <w:sz w:val="32"/>
          <w:szCs w:val="32"/>
          <w:lang w:eastAsia="zh-CN"/>
        </w:rPr>
        <w:t>，对未就业学生实行“一对一”帮扶，确保就业服务全覆盖。</w:t>
      </w:r>
    </w:p>
    <w:p w14:paraId="7622702A" w14:textId="77777777" w:rsidR="00B943B8" w:rsidRDefault="00000000" w:rsidP="009F69A5">
      <w:pPr>
        <w:widowControl w:val="0"/>
        <w:kinsoku/>
        <w:spacing w:line="560" w:lineRule="exact"/>
        <w:ind w:firstLineChars="100" w:firstLine="321"/>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（四）推动就业情况</w:t>
      </w:r>
    </w:p>
    <w:p w14:paraId="2235E32F" w14:textId="77777777" w:rsidR="00B943B8" w:rsidRDefault="00000000" w:rsidP="009F69A5">
      <w:pPr>
        <w:widowControl w:val="0"/>
        <w:kinsoku/>
        <w:spacing w:line="560" w:lineRule="exact"/>
        <w:ind w:firstLineChars="200" w:firstLine="640"/>
        <w:jc w:val="both"/>
        <w:rPr>
          <w:rFonts w:ascii="仿宋_GB2312" w:eastAsia="仿宋_GB2312"/>
          <w:color w:val="auto"/>
          <w:sz w:val="32"/>
          <w:szCs w:val="32"/>
          <w:lang w:eastAsia="zh-CN"/>
        </w:rPr>
      </w:pPr>
      <w:r>
        <w:rPr>
          <w:rFonts w:ascii="仿宋_GB2312" w:eastAsia="仿宋_GB2312" w:hint="eastAsia"/>
          <w:color w:val="auto"/>
          <w:sz w:val="32"/>
          <w:szCs w:val="32"/>
          <w:lang w:eastAsia="zh-CN"/>
        </w:rPr>
        <w:t>本项目毕业班级纳入学院整体就业工作，学院领导、辅导员、专业负责人、系主任与论文教师协同发力，每月逐项落实。论文指导教师，同时也是就业指导教师，实行就业“包保制”，确保就业率与考研率处于高水平。2025年首届毕业生共58人，最终就业率为96.55%。</w:t>
      </w:r>
    </w:p>
    <w:p w14:paraId="08595985" w14:textId="77777777" w:rsidR="00B943B8" w:rsidRDefault="00000000" w:rsidP="009F69A5">
      <w:pPr>
        <w:widowControl w:val="0"/>
        <w:kinsoku/>
        <w:spacing w:line="560" w:lineRule="exact"/>
        <w:ind w:firstLineChars="100" w:firstLine="321"/>
        <w:rPr>
          <w:rFonts w:ascii="楷体_GB2312" w:eastAsia="楷体_GB2312" w:hAnsi="楷体_GB2312" w:cs="楷体_GB2312" w:hint="eastAsia"/>
          <w:b/>
          <w:bCs/>
          <w:color w:val="auto"/>
          <w:sz w:val="32"/>
          <w:szCs w:val="32"/>
          <w:lang w:eastAsia="zh-CN"/>
        </w:rPr>
      </w:pPr>
      <w:r>
        <w:rPr>
          <w:rFonts w:ascii="楷体_GB2312" w:eastAsia="楷体_GB2312" w:hAnsi="楷体_GB2312" w:cs="楷体_GB2312" w:hint="eastAsia"/>
          <w:b/>
          <w:bCs/>
          <w:color w:val="auto"/>
          <w:sz w:val="32"/>
          <w:szCs w:val="32"/>
          <w:lang w:eastAsia="zh-CN"/>
        </w:rPr>
        <w:t>（五）薄弱环节及下步举措</w:t>
      </w:r>
    </w:p>
    <w:p w14:paraId="66CBF5D1" w14:textId="77777777" w:rsidR="00B943B8" w:rsidRDefault="00000000" w:rsidP="009F69A5">
      <w:pPr>
        <w:widowControl w:val="0"/>
        <w:kinsoku/>
        <w:spacing w:line="560" w:lineRule="exact"/>
        <w:ind w:firstLineChars="200" w:firstLine="640"/>
        <w:jc w:val="both"/>
        <w:rPr>
          <w:rFonts w:ascii="仿宋_GB2312" w:eastAsia="仿宋_GB2312"/>
          <w:color w:val="auto"/>
          <w:sz w:val="32"/>
          <w:szCs w:val="32"/>
          <w:lang w:eastAsia="zh-CN"/>
        </w:rPr>
      </w:pPr>
      <w:r>
        <w:rPr>
          <w:rFonts w:ascii="仿宋_GB2312" w:eastAsia="仿宋_GB2312" w:hint="eastAsia"/>
          <w:color w:val="auto"/>
          <w:sz w:val="32"/>
          <w:szCs w:val="32"/>
          <w:lang w:eastAsia="zh-CN"/>
        </w:rPr>
        <w:t>我校建立了中外合作办学运行管理制度，但在激励中外合作办学项目学生发展方面的经费投入支持力度（例如项目游学）需进一步加强。同时，随着首届毕业生走向社会，项目在就业指导精细化、校友资源开发等方面仍存在提升空间。</w:t>
      </w:r>
    </w:p>
    <w:p w14:paraId="39A23D1A" w14:textId="77777777" w:rsidR="00B943B8" w:rsidRDefault="00000000" w:rsidP="009F69A5">
      <w:pPr>
        <w:widowControl w:val="0"/>
        <w:kinsoku/>
        <w:spacing w:line="560" w:lineRule="exact"/>
        <w:ind w:firstLineChars="200" w:firstLine="640"/>
        <w:rPr>
          <w:rFonts w:ascii="黑体" w:eastAsia="黑体" w:hAnsi="黑体" w:cs="黑体" w:hint="eastAsia"/>
          <w:color w:val="auto"/>
          <w:sz w:val="32"/>
          <w:szCs w:val="32"/>
          <w:lang w:eastAsia="zh-CN"/>
        </w:rPr>
      </w:pPr>
      <w:r>
        <w:rPr>
          <w:rFonts w:ascii="黑体" w:eastAsia="黑体" w:hAnsi="黑体" w:cs="黑体" w:hint="eastAsia"/>
          <w:color w:val="auto"/>
          <w:sz w:val="32"/>
          <w:szCs w:val="32"/>
          <w:lang w:eastAsia="zh-CN"/>
        </w:rPr>
        <w:t>七、依法办学及办学规范性情况</w:t>
      </w:r>
    </w:p>
    <w:p w14:paraId="200ED0AF" w14:textId="77777777" w:rsidR="00B943B8" w:rsidRDefault="00000000" w:rsidP="009F69A5">
      <w:pPr>
        <w:widowControl w:val="0"/>
        <w:kinsoku/>
        <w:spacing w:line="560" w:lineRule="exact"/>
        <w:ind w:firstLineChars="200" w:firstLine="640"/>
        <w:jc w:val="both"/>
        <w:rPr>
          <w:rFonts w:ascii="仿宋_GB2312" w:eastAsia="仿宋_GB2312"/>
          <w:color w:val="auto"/>
          <w:sz w:val="32"/>
          <w:szCs w:val="32"/>
          <w:lang w:eastAsia="zh-CN"/>
        </w:rPr>
      </w:pPr>
      <w:r>
        <w:rPr>
          <w:rFonts w:ascii="仿宋_GB2312" w:eastAsia="仿宋_GB2312" w:hint="eastAsia"/>
          <w:color w:val="auto"/>
          <w:sz w:val="32"/>
          <w:szCs w:val="32"/>
          <w:lang w:eastAsia="zh-CN"/>
        </w:rPr>
        <w:t xml:space="preserve">学校严格监管措施，本年度没有出现超规模招生、擅自变更外方、擅自变更培养模式、中介参与招生录取及人才培养核心环节、违规使用境外教材等情况。 </w:t>
      </w:r>
    </w:p>
    <w:p w14:paraId="736892ED" w14:textId="77777777" w:rsidR="00B943B8" w:rsidRDefault="00000000" w:rsidP="009F69A5">
      <w:pPr>
        <w:widowControl w:val="0"/>
        <w:kinsoku/>
        <w:spacing w:line="560" w:lineRule="exact"/>
        <w:ind w:firstLineChars="200" w:firstLine="640"/>
        <w:rPr>
          <w:rFonts w:ascii="黑体" w:eastAsia="黑体" w:hAnsi="黑体" w:cs="黑体" w:hint="eastAsia"/>
          <w:color w:val="auto"/>
          <w:sz w:val="32"/>
          <w:szCs w:val="32"/>
          <w:lang w:eastAsia="zh-CN"/>
        </w:rPr>
      </w:pPr>
      <w:r>
        <w:rPr>
          <w:rFonts w:ascii="黑体" w:eastAsia="黑体" w:hAnsi="黑体" w:cs="黑体" w:hint="eastAsia"/>
          <w:color w:val="auto"/>
          <w:sz w:val="32"/>
          <w:szCs w:val="32"/>
          <w:lang w:eastAsia="zh-CN"/>
        </w:rPr>
        <w:t>八、合作办学辐射成果</w:t>
      </w:r>
    </w:p>
    <w:p w14:paraId="0DD987A2" w14:textId="77777777" w:rsidR="00B943B8" w:rsidRDefault="00000000" w:rsidP="009F69A5">
      <w:pPr>
        <w:widowControl w:val="0"/>
        <w:kinsoku/>
        <w:spacing w:line="560" w:lineRule="exact"/>
        <w:ind w:firstLineChars="200" w:firstLine="640"/>
        <w:jc w:val="both"/>
        <w:rPr>
          <w:rFonts w:ascii="仿宋_GB2312" w:eastAsia="仿宋_GB2312"/>
          <w:color w:val="auto"/>
          <w:sz w:val="32"/>
          <w:szCs w:val="32"/>
          <w:lang w:eastAsia="zh-CN"/>
        </w:rPr>
      </w:pPr>
      <w:r>
        <w:rPr>
          <w:rFonts w:ascii="仿宋_GB2312" w:eastAsia="仿宋_GB2312" w:hint="eastAsia"/>
          <w:color w:val="auto"/>
          <w:sz w:val="32"/>
          <w:szCs w:val="32"/>
          <w:lang w:eastAsia="zh-CN"/>
        </w:rPr>
        <w:t>中美两</w:t>
      </w:r>
      <w:proofErr w:type="gramStart"/>
      <w:r>
        <w:rPr>
          <w:rFonts w:ascii="仿宋_GB2312" w:eastAsia="仿宋_GB2312" w:hint="eastAsia"/>
          <w:color w:val="auto"/>
          <w:sz w:val="32"/>
          <w:szCs w:val="32"/>
          <w:lang w:eastAsia="zh-CN"/>
        </w:rPr>
        <w:t>校深化</w:t>
      </w:r>
      <w:proofErr w:type="gramEnd"/>
      <w:r>
        <w:rPr>
          <w:rFonts w:ascii="仿宋_GB2312" w:eastAsia="仿宋_GB2312" w:hint="eastAsia"/>
          <w:color w:val="auto"/>
          <w:sz w:val="32"/>
          <w:szCs w:val="32"/>
          <w:lang w:eastAsia="zh-CN"/>
        </w:rPr>
        <w:t>合作，构建了学校国际化发展的大平台。在合作办学项目基础上，2023年签订了全面合作的姊妹学校协议。两校联合申报留学基金委地方合作项目，获批“以文化人、以艺通心”创新人才国际合作培养项目，在美国东北州立大学成立“湖北第二师范学院国际中文教育与文化交流中心”，开展多场国际中文教育与文化交流活动，成为中外语言交流合作和世界多元文化</w:t>
      </w:r>
      <w:proofErr w:type="gramStart"/>
      <w:r>
        <w:rPr>
          <w:rFonts w:ascii="仿宋_GB2312" w:eastAsia="仿宋_GB2312" w:hint="eastAsia"/>
          <w:color w:val="auto"/>
          <w:sz w:val="32"/>
          <w:szCs w:val="32"/>
          <w:lang w:eastAsia="zh-CN"/>
        </w:rPr>
        <w:t>互学互鉴的</w:t>
      </w:r>
      <w:proofErr w:type="gramEnd"/>
      <w:r>
        <w:rPr>
          <w:rFonts w:ascii="仿宋_GB2312" w:eastAsia="仿宋_GB2312" w:hint="eastAsia"/>
          <w:color w:val="auto"/>
          <w:sz w:val="32"/>
          <w:szCs w:val="32"/>
          <w:lang w:eastAsia="zh-CN"/>
        </w:rPr>
        <w:t>重要平台。该地方合作项目运行至今，已向全校辐射，多学科教师参与访学与中美教育文化交流。两校交换</w:t>
      </w:r>
      <w:proofErr w:type="gramStart"/>
      <w:r>
        <w:rPr>
          <w:rFonts w:ascii="仿宋_GB2312" w:eastAsia="仿宋_GB2312" w:hint="eastAsia"/>
          <w:color w:val="auto"/>
          <w:sz w:val="32"/>
          <w:szCs w:val="32"/>
          <w:lang w:eastAsia="zh-CN"/>
        </w:rPr>
        <w:t>生项目</w:t>
      </w:r>
      <w:proofErr w:type="gramEnd"/>
      <w:r>
        <w:rPr>
          <w:rFonts w:ascii="仿宋_GB2312" w:eastAsia="仿宋_GB2312" w:hint="eastAsia"/>
          <w:color w:val="auto"/>
          <w:sz w:val="32"/>
          <w:szCs w:val="32"/>
          <w:lang w:eastAsia="zh-CN"/>
        </w:rPr>
        <w:t>惠及全校各学院。</w:t>
      </w:r>
    </w:p>
    <w:p w14:paraId="6D351D4D" w14:textId="77777777" w:rsidR="00B943B8" w:rsidRDefault="00000000" w:rsidP="009F69A5">
      <w:pPr>
        <w:widowControl w:val="0"/>
        <w:kinsoku/>
        <w:spacing w:line="560" w:lineRule="exact"/>
        <w:ind w:firstLineChars="200" w:firstLine="640"/>
        <w:rPr>
          <w:rFonts w:ascii="黑体" w:eastAsia="黑体" w:hAnsi="黑体" w:cs="黑体" w:hint="eastAsia"/>
          <w:color w:val="auto"/>
          <w:sz w:val="32"/>
          <w:szCs w:val="32"/>
          <w:lang w:eastAsia="zh-CN"/>
        </w:rPr>
      </w:pPr>
      <w:r>
        <w:rPr>
          <w:rFonts w:ascii="黑体" w:eastAsia="黑体" w:hAnsi="黑体" w:cs="黑体" w:hint="eastAsia"/>
          <w:color w:val="auto"/>
          <w:sz w:val="32"/>
          <w:szCs w:val="32"/>
          <w:lang w:eastAsia="zh-CN"/>
        </w:rPr>
        <w:t>九、形势分析及应对措施</w:t>
      </w:r>
    </w:p>
    <w:p w14:paraId="29B20FCE"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2025年，中美关系对项目影响总体可控，但家长担忧较上年更为具体，主要集中在签证审批不确定性、返美入境风险及合作项目持续稳定性等方面。对此，学院从三方面优化支持服务：</w:t>
      </w:r>
    </w:p>
    <w:p w14:paraId="2F151CFE"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第一，</w:t>
      </w:r>
      <w:proofErr w:type="gramStart"/>
      <w:r>
        <w:rPr>
          <w:rFonts w:ascii="仿宋_GB2312" w:eastAsia="仿宋_GB2312" w:hAnsi="仿宋_GB2312" w:cs="仿宋_GB2312" w:hint="eastAsia"/>
          <w:color w:val="auto"/>
          <w:sz w:val="32"/>
          <w:szCs w:val="32"/>
          <w:lang w:eastAsia="zh-CN"/>
        </w:rPr>
        <w:t>完善家校信息</w:t>
      </w:r>
      <w:proofErr w:type="gramEnd"/>
      <w:r>
        <w:rPr>
          <w:rFonts w:ascii="仿宋_GB2312" w:eastAsia="仿宋_GB2312" w:hAnsi="仿宋_GB2312" w:cs="仿宋_GB2312" w:hint="eastAsia"/>
          <w:color w:val="auto"/>
          <w:sz w:val="32"/>
          <w:szCs w:val="32"/>
          <w:lang w:eastAsia="zh-CN"/>
        </w:rPr>
        <w:t>互通。在原有家长</w:t>
      </w:r>
      <w:proofErr w:type="gramStart"/>
      <w:r>
        <w:rPr>
          <w:rFonts w:ascii="仿宋_GB2312" w:eastAsia="仿宋_GB2312" w:hAnsi="仿宋_GB2312" w:cs="仿宋_GB2312" w:hint="eastAsia"/>
          <w:color w:val="auto"/>
          <w:sz w:val="32"/>
          <w:szCs w:val="32"/>
          <w:lang w:eastAsia="zh-CN"/>
        </w:rPr>
        <w:t>微信群基础</w:t>
      </w:r>
      <w:proofErr w:type="gramEnd"/>
      <w:r>
        <w:rPr>
          <w:rFonts w:ascii="仿宋_GB2312" w:eastAsia="仿宋_GB2312" w:hAnsi="仿宋_GB2312" w:cs="仿宋_GB2312" w:hint="eastAsia"/>
          <w:color w:val="auto"/>
          <w:sz w:val="32"/>
          <w:szCs w:val="32"/>
          <w:lang w:eastAsia="zh-CN"/>
        </w:rPr>
        <w:t>上，建立“政策动态速递”机制，及时通报签证政策、留学预警及项目运行官方说明，并在签证预约、行前准备等关键节点增设专题沟通。</w:t>
      </w:r>
    </w:p>
    <w:p w14:paraId="5805F6DE"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第二，深化两校</w:t>
      </w:r>
      <w:proofErr w:type="gramStart"/>
      <w:r>
        <w:rPr>
          <w:rFonts w:ascii="仿宋_GB2312" w:eastAsia="仿宋_GB2312" w:hAnsi="仿宋_GB2312" w:cs="仿宋_GB2312" w:hint="eastAsia"/>
          <w:color w:val="auto"/>
          <w:sz w:val="32"/>
          <w:szCs w:val="32"/>
          <w:lang w:eastAsia="zh-CN"/>
        </w:rPr>
        <w:t>联合家</w:t>
      </w:r>
      <w:proofErr w:type="gramEnd"/>
      <w:r>
        <w:rPr>
          <w:rFonts w:ascii="仿宋_GB2312" w:eastAsia="仿宋_GB2312" w:hAnsi="仿宋_GB2312" w:cs="仿宋_GB2312" w:hint="eastAsia"/>
          <w:color w:val="auto"/>
          <w:sz w:val="32"/>
          <w:szCs w:val="32"/>
          <w:lang w:eastAsia="zh-CN"/>
        </w:rPr>
        <w:t>校协作会议。增设“风险管理与学业连续性”专题，邀请美方国际学生事务负责人线上参与，就签证审查、身份维护、学业中断预案等提供第一手信息，并安排往届留学生经验分享，以真实案例缓解家长焦虑。</w:t>
      </w:r>
    </w:p>
    <w:p w14:paraId="77DC7E22" w14:textId="77777777" w:rsidR="00B943B8" w:rsidRDefault="00000000" w:rsidP="009F69A5">
      <w:pPr>
        <w:widowControl w:val="0"/>
        <w:kinsoku/>
        <w:spacing w:line="560" w:lineRule="exact"/>
        <w:ind w:firstLineChars="200" w:firstLine="640"/>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第三，优化在美留学生跟踪指导。专业教师赴美研修期间设“驻美联络员”，留学生</w:t>
      </w:r>
      <w:proofErr w:type="gramStart"/>
      <w:r>
        <w:rPr>
          <w:rFonts w:ascii="仿宋_GB2312" w:eastAsia="仿宋_GB2312" w:hAnsi="仿宋_GB2312" w:cs="仿宋_GB2312" w:hint="eastAsia"/>
          <w:color w:val="auto"/>
          <w:sz w:val="32"/>
          <w:szCs w:val="32"/>
          <w:lang w:eastAsia="zh-CN"/>
        </w:rPr>
        <w:t>微信群</w:t>
      </w:r>
      <w:proofErr w:type="gramEnd"/>
      <w:r>
        <w:rPr>
          <w:rFonts w:ascii="仿宋_GB2312" w:eastAsia="仿宋_GB2312" w:hAnsi="仿宋_GB2312" w:cs="仿宋_GB2312" w:hint="eastAsia"/>
          <w:color w:val="auto"/>
          <w:sz w:val="32"/>
          <w:szCs w:val="32"/>
          <w:lang w:eastAsia="zh-CN"/>
        </w:rPr>
        <w:t>实行“每日有回应、每周有主题、每月有汇总”规范，定期向国内学校和家长反馈，并结合</w:t>
      </w:r>
      <w:proofErr w:type="gramStart"/>
      <w:r>
        <w:rPr>
          <w:rFonts w:ascii="仿宋_GB2312" w:eastAsia="仿宋_GB2312" w:hAnsi="仿宋_GB2312" w:cs="仿宋_GB2312" w:hint="eastAsia"/>
          <w:color w:val="auto"/>
          <w:sz w:val="32"/>
          <w:szCs w:val="32"/>
          <w:lang w:eastAsia="zh-CN"/>
        </w:rPr>
        <w:t>思政教育</w:t>
      </w:r>
      <w:proofErr w:type="gramEnd"/>
      <w:r>
        <w:rPr>
          <w:rFonts w:ascii="仿宋_GB2312" w:eastAsia="仿宋_GB2312" w:hAnsi="仿宋_GB2312" w:cs="仿宋_GB2312" w:hint="eastAsia"/>
          <w:color w:val="auto"/>
          <w:sz w:val="32"/>
          <w:szCs w:val="32"/>
          <w:lang w:eastAsia="zh-CN"/>
        </w:rPr>
        <w:t>引导学生理性应对外部环境波动。</w:t>
      </w:r>
      <w:bookmarkEnd w:id="0"/>
    </w:p>
    <w:sectPr w:rsidR="00B943B8">
      <w:footerReference w:type="default" r:id="rId9"/>
      <w:pgSz w:w="11906" w:h="16839"/>
      <w:pgMar w:top="1440" w:right="1785" w:bottom="1440" w:left="1785" w:header="567"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74547" w14:textId="77777777" w:rsidR="00656322" w:rsidRDefault="00656322">
      <w:r>
        <w:separator/>
      </w:r>
    </w:p>
  </w:endnote>
  <w:endnote w:type="continuationSeparator" w:id="0">
    <w:p w14:paraId="62BC0FE3" w14:textId="77777777" w:rsidR="00656322" w:rsidRDefault="00656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Kaiti SC">
    <w:altName w:val="宋体"/>
    <w:charset w:val="86"/>
    <w:family w:val="auto"/>
    <w:pitch w:val="default"/>
    <w:sig w:usb0="00000000" w:usb1="00000000" w:usb2="00000016" w:usb3="00000000" w:csb0="0004001F" w:csb1="00000000"/>
  </w:font>
  <w:font w:name="仿宋_GB2312">
    <w:panose1 w:val="02010609030101010101"/>
    <w:charset w:val="86"/>
    <w:family w:val="modern"/>
    <w:pitch w:val="fixed"/>
    <w:sig w:usb0="00000001" w:usb1="080E0000" w:usb2="00000010" w:usb3="00000000" w:csb0="00040000" w:csb1="00000000"/>
    <w:embedRegular r:id="rId1" w:subsetted="1" w:fontKey="{AF1710E2-F896-4E20-9F2B-A6B2449D9D20}"/>
    <w:embedBold r:id="rId2" w:subsetted="1" w:fontKey="{813FA25C-D8B3-4419-8C99-BB4B0E2D286C}"/>
  </w:font>
  <w:font w:name="方正小标宋简体">
    <w:panose1 w:val="03000509000000000000"/>
    <w:charset w:val="86"/>
    <w:family w:val="script"/>
    <w:pitch w:val="fixed"/>
    <w:sig w:usb0="00000001" w:usb1="080E0000" w:usb2="00000010" w:usb3="00000000" w:csb0="00040000" w:csb1="00000000"/>
    <w:embedRegular r:id="rId3" w:subsetted="1" w:fontKey="{364893D9-FF81-46D1-A087-5311FB872219}"/>
  </w:font>
  <w:font w:name="黑体">
    <w:altName w:val="SimHei"/>
    <w:panose1 w:val="02010609060101010101"/>
    <w:charset w:val="86"/>
    <w:family w:val="modern"/>
    <w:pitch w:val="fixed"/>
    <w:sig w:usb0="800002BF" w:usb1="38CF7CFA" w:usb2="00000016" w:usb3="00000000" w:csb0="00040001" w:csb1="00000000"/>
    <w:embedRegular r:id="rId4" w:subsetted="1" w:fontKey="{2C3C8E2F-CA99-4BFC-A0D8-0E0D643C4DBB}"/>
  </w:font>
  <w:font w:name="楷体_GB2312">
    <w:panose1 w:val="02010609030101010101"/>
    <w:charset w:val="86"/>
    <w:family w:val="modern"/>
    <w:pitch w:val="fixed"/>
    <w:sig w:usb0="00000001" w:usb1="080E0000" w:usb2="00000010" w:usb3="00000000" w:csb0="00040000" w:csb1="00000000"/>
    <w:embedBold r:id="rId5" w:subsetted="1" w:fontKey="{BBBB98EE-9577-446B-B20B-FDFA8D1ECCE9}"/>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1871C" w14:textId="77777777" w:rsidR="00B943B8" w:rsidRDefault="00000000">
    <w:pPr>
      <w:pStyle w:val="a5"/>
      <w:rPr>
        <w:rFonts w:hint="eastAsia"/>
      </w:rPr>
    </w:pPr>
    <w:r>
      <w:rPr>
        <w:noProof/>
      </w:rPr>
      <mc:AlternateContent>
        <mc:Choice Requires="wps">
          <w:drawing>
            <wp:anchor distT="0" distB="0" distL="114300" distR="114300" simplePos="0" relativeHeight="251659264" behindDoc="0" locked="0" layoutInCell="1" allowOverlap="1" wp14:anchorId="7C52B9AC" wp14:editId="0CA9F240">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BF30FA" w14:textId="77777777" w:rsidR="00B943B8" w:rsidRDefault="00000000">
                          <w:pPr>
                            <w:pStyle w:val="a5"/>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C52B9AC"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EBF30FA" w14:textId="77777777" w:rsidR="00B943B8" w:rsidRDefault="00000000">
                    <w:pPr>
                      <w:pStyle w:val="a5"/>
                      <w:rPr>
                        <w:rFonts w:hint="eastAsia"/>
                      </w:rP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C8B97" w14:textId="77777777" w:rsidR="00656322" w:rsidRDefault="00656322">
      <w:r>
        <w:separator/>
      </w:r>
    </w:p>
  </w:footnote>
  <w:footnote w:type="continuationSeparator" w:id="0">
    <w:p w14:paraId="62BCA4A6" w14:textId="77777777" w:rsidR="00656322" w:rsidRDefault="00656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D27E18"/>
    <w:multiLevelType w:val="singleLevel"/>
    <w:tmpl w:val="D0D27E18"/>
    <w:lvl w:ilvl="0">
      <w:start w:val="1"/>
      <w:numFmt w:val="chineseCounting"/>
      <w:suff w:val="nothing"/>
      <w:lvlText w:val="（%1）"/>
      <w:lvlJc w:val="left"/>
      <w:rPr>
        <w:rFonts w:hint="eastAsia"/>
      </w:rPr>
    </w:lvl>
  </w:abstractNum>
  <w:abstractNum w:abstractNumId="1" w15:restartNumberingAfterBreak="0">
    <w:nsid w:val="F5FC8248"/>
    <w:multiLevelType w:val="singleLevel"/>
    <w:tmpl w:val="F5FC8248"/>
    <w:lvl w:ilvl="0">
      <w:start w:val="1"/>
      <w:numFmt w:val="chineseCounting"/>
      <w:suff w:val="nothing"/>
      <w:lvlText w:val="（%1）"/>
      <w:lvlJc w:val="left"/>
      <w:rPr>
        <w:rFonts w:hint="eastAsia"/>
      </w:rPr>
    </w:lvl>
  </w:abstractNum>
  <w:abstractNum w:abstractNumId="2" w15:restartNumberingAfterBreak="0">
    <w:nsid w:val="0CB59466"/>
    <w:multiLevelType w:val="singleLevel"/>
    <w:tmpl w:val="0CB59466"/>
    <w:lvl w:ilvl="0">
      <w:start w:val="4"/>
      <w:numFmt w:val="chineseCounting"/>
      <w:suff w:val="nothing"/>
      <w:lvlText w:val="（%1）"/>
      <w:lvlJc w:val="left"/>
      <w:rPr>
        <w:rFonts w:hint="eastAsia"/>
      </w:rPr>
    </w:lvl>
  </w:abstractNum>
  <w:abstractNum w:abstractNumId="3" w15:restartNumberingAfterBreak="0">
    <w:nsid w:val="1511A4AC"/>
    <w:multiLevelType w:val="singleLevel"/>
    <w:tmpl w:val="1511A4AC"/>
    <w:lvl w:ilvl="0">
      <w:start w:val="2"/>
      <w:numFmt w:val="chineseCounting"/>
      <w:suff w:val="nothing"/>
      <w:lvlText w:val="（%1）"/>
      <w:lvlJc w:val="left"/>
      <w:rPr>
        <w:rFonts w:hint="eastAsia"/>
      </w:rPr>
    </w:lvl>
  </w:abstractNum>
  <w:abstractNum w:abstractNumId="4" w15:restartNumberingAfterBreak="0">
    <w:nsid w:val="571CCDF3"/>
    <w:multiLevelType w:val="singleLevel"/>
    <w:tmpl w:val="571CCDF3"/>
    <w:lvl w:ilvl="0">
      <w:start w:val="6"/>
      <w:numFmt w:val="chineseCounting"/>
      <w:suff w:val="nothing"/>
      <w:lvlText w:val="%1、"/>
      <w:lvlJc w:val="left"/>
      <w:rPr>
        <w:rFonts w:hint="eastAsia"/>
      </w:rPr>
    </w:lvl>
  </w:abstractNum>
  <w:abstractNum w:abstractNumId="5" w15:restartNumberingAfterBreak="0">
    <w:nsid w:val="5EF89A10"/>
    <w:multiLevelType w:val="singleLevel"/>
    <w:tmpl w:val="5EF89A10"/>
    <w:lvl w:ilvl="0">
      <w:start w:val="1"/>
      <w:numFmt w:val="chineseCounting"/>
      <w:suff w:val="nothing"/>
      <w:lvlText w:val="%1、"/>
      <w:lvlJc w:val="left"/>
      <w:rPr>
        <w:rFonts w:hint="eastAsia"/>
      </w:rPr>
    </w:lvl>
  </w:abstractNum>
  <w:num w:numId="1" w16cid:durableId="710375065">
    <w:abstractNumId w:val="5"/>
  </w:num>
  <w:num w:numId="2" w16cid:durableId="1282767321">
    <w:abstractNumId w:val="3"/>
  </w:num>
  <w:num w:numId="3" w16cid:durableId="1519855021">
    <w:abstractNumId w:val="2"/>
  </w:num>
  <w:num w:numId="4" w16cid:durableId="1128470579">
    <w:abstractNumId w:val="1"/>
  </w:num>
  <w:num w:numId="5" w16cid:durableId="789203619">
    <w:abstractNumId w:val="0"/>
  </w:num>
  <w:num w:numId="6" w16cid:durableId="2305029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43B8"/>
    <w:rsid w:val="0011646E"/>
    <w:rsid w:val="001662F5"/>
    <w:rsid w:val="00265901"/>
    <w:rsid w:val="003C4F05"/>
    <w:rsid w:val="003F4428"/>
    <w:rsid w:val="00656322"/>
    <w:rsid w:val="00683724"/>
    <w:rsid w:val="009F69A5"/>
    <w:rsid w:val="00B943B8"/>
    <w:rsid w:val="00BA401C"/>
    <w:rsid w:val="01731F4E"/>
    <w:rsid w:val="050E2E67"/>
    <w:rsid w:val="051C7A72"/>
    <w:rsid w:val="06560969"/>
    <w:rsid w:val="0963019A"/>
    <w:rsid w:val="0A083DC8"/>
    <w:rsid w:val="0C717078"/>
    <w:rsid w:val="0D1B4F5A"/>
    <w:rsid w:val="0DA61699"/>
    <w:rsid w:val="11E36A77"/>
    <w:rsid w:val="18864726"/>
    <w:rsid w:val="19FB75D2"/>
    <w:rsid w:val="1A887542"/>
    <w:rsid w:val="200001B9"/>
    <w:rsid w:val="214B1CB1"/>
    <w:rsid w:val="253D18C4"/>
    <w:rsid w:val="255260AB"/>
    <w:rsid w:val="263E7234"/>
    <w:rsid w:val="26487F21"/>
    <w:rsid w:val="267E1246"/>
    <w:rsid w:val="2CF075FC"/>
    <w:rsid w:val="2D24719C"/>
    <w:rsid w:val="2EA72D69"/>
    <w:rsid w:val="33E162A4"/>
    <w:rsid w:val="35CD1307"/>
    <w:rsid w:val="35FE7713"/>
    <w:rsid w:val="36783182"/>
    <w:rsid w:val="386E2BD7"/>
    <w:rsid w:val="3CA1704A"/>
    <w:rsid w:val="3D454E81"/>
    <w:rsid w:val="3F2D5FE1"/>
    <w:rsid w:val="3FBF7BD9"/>
    <w:rsid w:val="40547612"/>
    <w:rsid w:val="40652CB5"/>
    <w:rsid w:val="42303FC0"/>
    <w:rsid w:val="43A8628C"/>
    <w:rsid w:val="468D3966"/>
    <w:rsid w:val="4AB86F78"/>
    <w:rsid w:val="4D7E42CC"/>
    <w:rsid w:val="4E3604E3"/>
    <w:rsid w:val="514959C4"/>
    <w:rsid w:val="58332609"/>
    <w:rsid w:val="59210D39"/>
    <w:rsid w:val="5B420748"/>
    <w:rsid w:val="5D16507D"/>
    <w:rsid w:val="5D58076E"/>
    <w:rsid w:val="5F2373A4"/>
    <w:rsid w:val="5F5A0E02"/>
    <w:rsid w:val="60003F04"/>
    <w:rsid w:val="68B94F43"/>
    <w:rsid w:val="6CE968E8"/>
    <w:rsid w:val="6D7F6F34"/>
    <w:rsid w:val="6DA627B7"/>
    <w:rsid w:val="77094D6A"/>
    <w:rsid w:val="77D1495D"/>
    <w:rsid w:val="7B7C3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7B201A"/>
  <w15:docId w15:val="{63EDD44A-610B-4436-8CB7-E7B41CC6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2">
    <w:name w:val="heading 2"/>
    <w:basedOn w:val="a"/>
    <w:next w:val="a"/>
    <w:unhideWhenUsed/>
    <w:qFormat/>
    <w:pPr>
      <w:keepNext/>
      <w:keepLines/>
      <w:spacing w:before="260" w:after="260" w:line="413" w:lineRule="auto"/>
      <w:outlineLvl w:val="1"/>
    </w:pPr>
    <w:rPr>
      <w:rFonts w:eastAsia="Kaiti SC"/>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semiHidden/>
    <w:qFormat/>
    <w:rPr>
      <w:rFonts w:ascii="仿宋_GB2312" w:eastAsia="仿宋_GB2312" w:hAnsi="仿宋_GB2312" w:cs="仿宋_GB2312"/>
      <w:sz w:val="28"/>
      <w:szCs w:val="28"/>
    </w:rPr>
  </w:style>
  <w:style w:type="paragraph" w:styleId="a5">
    <w:name w:val="footer"/>
    <w:basedOn w:val="a"/>
    <w:uiPriority w:val="99"/>
    <w:qFormat/>
    <w:pPr>
      <w:tabs>
        <w:tab w:val="center" w:pos="4153"/>
        <w:tab w:val="right" w:pos="8306"/>
      </w:tabs>
    </w:pPr>
    <w:rPr>
      <w:rFonts w:ascii="仿宋_GB2312" w:eastAsia="仿宋_GB2312" w:hAnsi="仿宋_GB2312"/>
      <w:sz w:val="18"/>
      <w:szCs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7">
    <w:name w:val="Normal (Web)"/>
    <w:basedOn w:val="a"/>
    <w:qFormat/>
    <w:rPr>
      <w:sz w:val="24"/>
    </w:rPr>
  </w:style>
  <w:style w:type="table" w:customStyle="1" w:styleId="TableNormal">
    <w:name w:val="Table Normal"/>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94909f76-959f-4bde-a248-e6c41ad03566</errorID>
      <errorWord>生</errorWord>
      <group>L1_Word</group>
      <groupName>字词问题</groupName>
      <ability>L2_Typo</ability>
      <abilityName>字词错误</abilityName>
      <candidateList>
        <item>生在</item>
      </candidateList>
      <explain/>
      <paraID>1D26C768</paraID>
      <start>51</start>
      <end>52</end>
      <status>unmodified</status>
      <modifiedWord/>
      <trackRevisions>false</trackRevisions>
    </reviewItem>
    <reviewItem>
      <errorID>feef0237-2c23-4710-9455-a58e78314a06</errorID>
      <errorWord>设</errorWord>
      <group>L1_Word</group>
      <groupName>字词问题</groupName>
      <ability>L2_Typo</ability>
      <abilityName>字词错误</abilityName>
      <candidateList>
        <item>设立</item>
      </candidateList>
      <explain/>
      <paraID>49E1D0F8</paraID>
      <start>25</start>
      <end>26</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6E35FC5-E920-4F5A-A981-7E9AFA4FD973}">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15</Pages>
  <Words>1237</Words>
  <Characters>7051</Characters>
  <Application>Microsoft Office Word</Application>
  <DocSecurity>0</DocSecurity>
  <Lines>58</Lines>
  <Paragraphs>16</Paragraphs>
  <ScaleCrop>false</ScaleCrop>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dc:creator>
  <cp:lastModifiedBy>汪危</cp:lastModifiedBy>
  <cp:revision>3</cp:revision>
  <cp:lastPrinted>2026-09-30T03:22:00Z</cp:lastPrinted>
  <dcterms:created xsi:type="dcterms:W3CDTF">2023-07-02T16:05:00Z</dcterms:created>
  <dcterms:modified xsi:type="dcterms:W3CDTF">2026-10-30T07:33:00Z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26B563D5B62F4E3493DB58492D0ABB97_13</vt:lpwstr>
  </property>
  <property fmtid="{D5CDD505-2E9C-101B-9397-08002B2CF9AE}" pid="4" name="KSOTemplateDocerSaveRecord">
    <vt:lpwstr>eyJoZGlkIjoiYjBiM2MwNmIxY2M4OWRjNTUzM2NkYjc0ZDg0ZGMyZDEiLCJ1c2VySWQiOiI1MzM4MjkyNTAifQ==</vt:lpwstr>
  </property>
</Properties>
</file>