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83505">
      <w:pPr>
        <w:widowControl w:val="0"/>
        <w:kinsoku/>
        <w:autoSpaceDE/>
        <w:autoSpaceDN/>
        <w:jc w:val="center"/>
        <w:textAlignment w:val="auto"/>
        <w:rPr>
          <w:rFonts w:hint="eastAsia" w:ascii="方正小标宋简体" w:hAnsi="方正小标宋简体" w:eastAsia="方正小标宋简体" w:cs="方正小标宋简体"/>
          <w:snapToGrid/>
          <w:kern w:val="2"/>
          <w:sz w:val="44"/>
          <w:szCs w:val="44"/>
          <w:lang w:eastAsia="zh-CN"/>
        </w:rPr>
      </w:pPr>
      <w:r>
        <w:rPr>
          <w:rFonts w:hint="eastAsia" w:ascii="方正小标宋简体" w:hAnsi="方正小标宋简体" w:eastAsia="方正小标宋简体" w:cs="方正小标宋简体"/>
          <w:snapToGrid/>
          <w:kern w:val="2"/>
          <w:sz w:val="44"/>
          <w:szCs w:val="44"/>
          <w:lang w:eastAsia="zh-CN"/>
        </w:rPr>
        <w:t>湖北第二师范学院2025年度电子信息科学与技术专业中外合作办学项目办学报告</w:t>
      </w:r>
    </w:p>
    <w:p w14:paraId="3C4B6EFA">
      <w:pPr>
        <w:kinsoku/>
        <w:spacing w:line="540" w:lineRule="exact"/>
        <w:jc w:val="both"/>
        <w:rPr>
          <w:lang w:eastAsia="zh-CN"/>
        </w:rPr>
      </w:pPr>
    </w:p>
    <w:p w14:paraId="139D6383">
      <w:pPr>
        <w:widowControl w:val="0"/>
        <w:kinsoku/>
        <w:autoSpaceDE/>
        <w:autoSpaceDN/>
        <w:spacing w:line="360" w:lineRule="auto"/>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一、办学基本情况</w:t>
      </w:r>
    </w:p>
    <w:p w14:paraId="5006D4F2">
      <w:pPr>
        <w:widowControl w:val="0"/>
        <w:numPr>
          <w:ilvl w:val="0"/>
          <w:numId w:val="1"/>
        </w:numPr>
        <w:kinsoku/>
        <w:autoSpaceDE/>
        <w:autoSpaceDN/>
        <w:spacing w:line="360" w:lineRule="auto"/>
        <w:ind w:firstLine="643" w:firstLineChars="200"/>
        <w:jc w:val="both"/>
        <w:textAlignment w:val="auto"/>
        <w:rPr>
          <w:rFonts w:hint="eastAsia" w:ascii="楷体_GB2312" w:hAnsi="楷体_GB2312" w:eastAsia="楷体_GB2312" w:cs="楷体_GB2312"/>
          <w:b/>
          <w:bCs/>
          <w:snapToGrid/>
          <w:kern w:val="2"/>
          <w:sz w:val="32"/>
          <w:szCs w:val="32"/>
          <w:lang w:eastAsia="zh-CN"/>
        </w:rPr>
      </w:pPr>
      <w:r>
        <w:rPr>
          <w:rFonts w:hint="eastAsia" w:ascii="楷体_GB2312" w:hAnsi="楷体_GB2312" w:eastAsia="楷体_GB2312" w:cs="楷体_GB2312"/>
          <w:b/>
          <w:bCs/>
          <w:snapToGrid/>
          <w:kern w:val="2"/>
          <w:sz w:val="32"/>
          <w:szCs w:val="32"/>
          <w:lang w:eastAsia="zh-CN"/>
        </w:rPr>
        <w:t>项目基本信息</w:t>
      </w:r>
    </w:p>
    <w:p w14:paraId="0CED8D93">
      <w:pPr>
        <w:widowControl w:val="0"/>
        <w:kinsoku/>
        <w:spacing w:line="360" w:lineRule="auto"/>
        <w:ind w:firstLine="643" w:firstLineChars="200"/>
        <w:jc w:val="both"/>
        <w:rPr>
          <w:rFonts w:ascii="仿宋_GB2312" w:eastAsia="仿宋_GB2312"/>
          <w:b/>
          <w:bCs/>
          <w:color w:val="auto"/>
          <w:sz w:val="32"/>
          <w:szCs w:val="32"/>
          <w:lang w:eastAsia="zh-CN"/>
        </w:rPr>
      </w:pPr>
      <w:r>
        <w:rPr>
          <w:rFonts w:hint="eastAsia" w:ascii="仿宋_GB2312" w:eastAsia="仿宋_GB2312"/>
          <w:b/>
          <w:bCs/>
          <w:color w:val="auto"/>
          <w:sz w:val="32"/>
          <w:szCs w:val="32"/>
          <w:lang w:eastAsia="zh-CN"/>
        </w:rPr>
        <w:t>项目名称：湖北第二师范学院与美国佛罗里达理工学院合作举办电子信息科学与技术专业本科教育项目</w:t>
      </w:r>
    </w:p>
    <w:p w14:paraId="0275E9EB">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本项目为国家教育主管部门批准的中外合作办学本科教育项目（批准书编号：</w:t>
      </w:r>
      <w:r>
        <w:rPr>
          <w:rFonts w:ascii="仿宋_GB2312" w:eastAsia="仿宋_GB2312"/>
          <w:sz w:val="32"/>
          <w:szCs w:val="32"/>
          <w:lang w:eastAsia="zh-CN"/>
        </w:rPr>
        <w:t>MOE42US2A20131570N</w:t>
      </w:r>
      <w:r>
        <w:rPr>
          <w:rFonts w:hint="eastAsia" w:ascii="仿宋_GB2312" w:eastAsia="仿宋_GB2312"/>
          <w:sz w:val="32"/>
          <w:szCs w:val="32"/>
          <w:lang w:eastAsia="zh-CN"/>
        </w:rPr>
        <w:t>），由湖北第二师范学院与美国佛罗里达理工学院（均为独立法人）联合实施。项目为全日制普通本科，学制四年，统招纳入湖北省理工类本科录取批次，招生年限为201</w:t>
      </w:r>
      <w:r>
        <w:rPr>
          <w:rFonts w:ascii="仿宋_GB2312" w:eastAsia="仿宋_GB2312"/>
          <w:sz w:val="32"/>
          <w:szCs w:val="32"/>
          <w:lang w:eastAsia="zh-CN"/>
        </w:rPr>
        <w:t>4</w:t>
      </w:r>
      <w:r>
        <w:rPr>
          <w:rFonts w:hint="eastAsia" w:ascii="仿宋_GB2312" w:eastAsia="仿宋_GB2312"/>
          <w:sz w:val="32"/>
          <w:szCs w:val="32"/>
          <w:lang w:eastAsia="zh-CN"/>
        </w:rPr>
        <w:t>年至202</w:t>
      </w:r>
      <w:r>
        <w:rPr>
          <w:rFonts w:ascii="仿宋_GB2312" w:eastAsia="仿宋_GB2312"/>
          <w:sz w:val="32"/>
          <w:szCs w:val="32"/>
          <w:lang w:eastAsia="zh-CN"/>
        </w:rPr>
        <w:t>3</w:t>
      </w:r>
      <w:r>
        <w:rPr>
          <w:rFonts w:hint="eastAsia" w:ascii="仿宋_GB2312" w:eastAsia="仿宋_GB2312"/>
          <w:sz w:val="32"/>
          <w:szCs w:val="32"/>
          <w:lang w:eastAsia="zh-CN"/>
        </w:rPr>
        <w:t>年，年计划招生规模为120人。考生需通过全国高考达到同批次分数线，经德智体美劳综合考核择优录取。采用</w:t>
      </w:r>
      <w:r>
        <w:rPr>
          <w:rFonts w:hint="cs" w:ascii="仿宋_GB2312" w:eastAsia="仿宋_GB2312"/>
          <w:sz w:val="32"/>
          <w:szCs w:val="32"/>
          <w:cs/>
          <w:lang w:eastAsia="zh-CN"/>
        </w:rPr>
        <w:t>“</w:t>
      </w:r>
      <w:r>
        <w:rPr>
          <w:rFonts w:hint="eastAsia" w:ascii="仿宋_GB2312" w:eastAsia="仿宋_GB2312"/>
          <w:sz w:val="32"/>
          <w:szCs w:val="32"/>
          <w:lang w:eastAsia="zh-CN"/>
        </w:rPr>
        <w:t>4+0”培养模式，成绩合格，毕业可获中方本科毕业证书、学士学位证书。赴美方学习且成绩合格可获得美国佛罗里达理工学院学士学位证书。</w:t>
      </w:r>
    </w:p>
    <w:p w14:paraId="038058B5">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因外方国际化教育战略调整，合作方美国佛罗里达理工学院自2020年春季学期开始，单方面逐步停止对该中外合作办学项目的投入。2024年1月，经向上级主管部门申请并同意自2024年开始，与美国佛罗里达理工学院合作举办的电子信息科学与技术专业本科教育项目停止招生。</w:t>
      </w:r>
    </w:p>
    <w:p w14:paraId="535B7535">
      <w:pPr>
        <w:widowControl w:val="0"/>
        <w:numPr>
          <w:ilvl w:val="0"/>
          <w:numId w:val="1"/>
        </w:numPr>
        <w:kinsoku/>
        <w:autoSpaceDE/>
        <w:autoSpaceDN/>
        <w:spacing w:line="360" w:lineRule="auto"/>
        <w:ind w:firstLine="643" w:firstLineChars="200"/>
        <w:jc w:val="both"/>
        <w:textAlignment w:val="auto"/>
        <w:rPr>
          <w:rFonts w:hint="eastAsia" w:ascii="楷体_GB2312" w:hAnsi="楷体_GB2312" w:eastAsia="楷体_GB2312" w:cs="楷体_GB2312"/>
          <w:b/>
          <w:bCs/>
          <w:snapToGrid/>
          <w:kern w:val="2"/>
          <w:sz w:val="32"/>
          <w:szCs w:val="32"/>
          <w:lang w:eastAsia="zh-CN"/>
        </w:rPr>
      </w:pPr>
      <w:r>
        <w:rPr>
          <w:rFonts w:hint="eastAsia" w:ascii="楷体_GB2312" w:hAnsi="楷体_GB2312" w:eastAsia="楷体_GB2312" w:cs="楷体_GB2312"/>
          <w:b/>
          <w:bCs/>
          <w:snapToGrid/>
          <w:kern w:val="2"/>
          <w:sz w:val="32"/>
          <w:szCs w:val="32"/>
          <w:lang w:eastAsia="zh-CN"/>
        </w:rPr>
        <w:t>办学定位与目标</w:t>
      </w:r>
    </w:p>
    <w:p w14:paraId="74CA58CC">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办学定位：立足湖北、面向全国，聚焦基础教育信息化与数字经济产业发展需求，依托湖北第二师范学院电子信息科学与技术省级一流本科专业的学科基础，结合佛罗里达理工学院在电子信息技术领域的优质教育资源与办学经验，以国际化应用型人才培养为核心，深化产教协同与跨文化育人，打造电子信息领域中外合作办学特色品牌，为服务区域经济社会发展输送兼具国际视野与实践能力的高素质应用型人才。</w:t>
      </w:r>
    </w:p>
    <w:p w14:paraId="08472614">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培养目标：本专业秉承“德智体美劳全面发展”的育人理念，致力于培养综合素质优良的国际性人才。学生需系统掌握电子信息核心理论、前沿技术及国际行业标准，具备综合应用专业知识解决复杂工程问题的能力，拥有扎实的工程实践经验、项目管理能力与创新意识。</w:t>
      </w:r>
    </w:p>
    <w:p w14:paraId="4FD94461">
      <w:pPr>
        <w:widowControl w:val="0"/>
        <w:numPr>
          <w:ilvl w:val="0"/>
          <w:numId w:val="1"/>
        </w:numPr>
        <w:kinsoku/>
        <w:autoSpaceDE/>
        <w:autoSpaceDN/>
        <w:spacing w:line="360" w:lineRule="auto"/>
        <w:ind w:firstLine="643" w:firstLineChars="200"/>
        <w:jc w:val="both"/>
        <w:textAlignment w:val="auto"/>
        <w:rPr>
          <w:rFonts w:hint="eastAsia" w:ascii="楷体_GB2312" w:hAnsi="楷体_GB2312" w:eastAsia="楷体_GB2312" w:cs="楷体_GB2312"/>
          <w:b/>
          <w:bCs/>
          <w:snapToGrid/>
          <w:kern w:val="2"/>
          <w:sz w:val="32"/>
          <w:szCs w:val="32"/>
          <w:lang w:eastAsia="zh-CN"/>
        </w:rPr>
      </w:pPr>
      <w:r>
        <w:rPr>
          <w:rFonts w:hint="eastAsia" w:ascii="楷体_GB2312" w:hAnsi="楷体_GB2312" w:eastAsia="楷体_GB2312" w:cs="楷体_GB2312"/>
          <w:b/>
          <w:bCs/>
          <w:snapToGrid/>
          <w:kern w:val="2"/>
          <w:sz w:val="32"/>
          <w:szCs w:val="32"/>
          <w:lang w:eastAsia="zh-CN"/>
        </w:rPr>
        <w:t>中外方参与制定更新培养方案与教学计划情况</w:t>
      </w:r>
    </w:p>
    <w:p w14:paraId="0C9F354A">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自本项目举办以来，中外双方共同研讨确定课程体系架构及中外双方课程分担安排，制定适配的教学计划。项目第一学年聚焦学生英语能力夯实，外方承担的课程集中安排在第二至第四学年，保障教学成效。项目引进课程分为中外共同开发与外方原版引进两类：共同开发课程的教学大纲、教辅材料、考核试卷等由双方共同研讨确定，授课教师经中外双方共同认可。外方原版引进课程的大纲、教辅、试卷等由外方提供，授课教师由外方选派或认定。</w:t>
      </w:r>
    </w:p>
    <w:p w14:paraId="29F08AD9">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教学管理层面建立双语教学管理制度，邀请外方优秀教师来华授课。项目编制规范严谨、科学可行的课程教学大纲，建立健全教材引进与选用机制，择优引进境外优质教材，切实保障教材选用质量与课堂应用效果。</w:t>
      </w:r>
    </w:p>
    <w:p w14:paraId="414911E8">
      <w:pPr>
        <w:widowControl w:val="0"/>
        <w:numPr>
          <w:ilvl w:val="0"/>
          <w:numId w:val="1"/>
        </w:numPr>
        <w:kinsoku/>
        <w:autoSpaceDE/>
        <w:autoSpaceDN/>
        <w:spacing w:line="360" w:lineRule="auto"/>
        <w:ind w:firstLine="643" w:firstLineChars="200"/>
        <w:jc w:val="both"/>
        <w:textAlignment w:val="auto"/>
        <w:rPr>
          <w:rFonts w:hint="eastAsia" w:ascii="楷体_GB2312" w:hAnsi="楷体_GB2312" w:eastAsia="楷体_GB2312" w:cs="楷体_GB2312"/>
          <w:b/>
          <w:bCs/>
          <w:snapToGrid/>
          <w:kern w:val="2"/>
          <w:sz w:val="32"/>
          <w:szCs w:val="32"/>
          <w:lang w:eastAsia="zh-CN"/>
        </w:rPr>
      </w:pPr>
      <w:r>
        <w:rPr>
          <w:rFonts w:hint="eastAsia" w:ascii="楷体_GB2312" w:hAnsi="楷体_GB2312" w:eastAsia="楷体_GB2312" w:cs="楷体_GB2312"/>
          <w:b/>
          <w:bCs/>
          <w:snapToGrid/>
          <w:kern w:val="2"/>
          <w:sz w:val="32"/>
          <w:szCs w:val="32"/>
          <w:lang w:eastAsia="zh-CN"/>
        </w:rPr>
        <w:t>本年度招生与毕业生情况</w:t>
      </w:r>
    </w:p>
    <w:p w14:paraId="48E0795D">
      <w:pPr>
        <w:widowControl w:val="0"/>
        <w:kinsoku/>
        <w:spacing w:line="360" w:lineRule="auto"/>
        <w:ind w:firstLine="640" w:firstLineChars="200"/>
        <w:jc w:val="both"/>
        <w:rPr>
          <w:rFonts w:hint="eastAsia" w:ascii="仿宋_GB2312" w:hAnsi="仿宋_GB2312" w:eastAsia="仿宋_GB2312" w:cs="仿宋_GB2312"/>
          <w:sz w:val="32"/>
          <w:szCs w:val="32"/>
          <w:highlight w:val="yellow"/>
          <w:lang w:eastAsia="zh-CN"/>
        </w:rPr>
      </w:pPr>
      <w:r>
        <w:rPr>
          <w:rFonts w:hint="eastAsia" w:ascii="仿宋_GB2312" w:eastAsia="仿宋_GB2312"/>
          <w:sz w:val="32"/>
          <w:szCs w:val="32"/>
          <w:lang w:eastAsia="zh-CN"/>
        </w:rPr>
        <w:t>2024年及以后，该项目不再招生。本年度</w:t>
      </w:r>
      <w:r>
        <w:rPr>
          <w:rFonts w:hint="eastAsia" w:ascii="仿宋_GB2312" w:hAnsi="仿宋_GB2312" w:eastAsia="仿宋_GB2312" w:cs="仿宋_GB2312"/>
          <w:color w:val="121212"/>
          <w:sz w:val="32"/>
          <w:szCs w:val="32"/>
          <w:lang w:eastAsia="zh-CN"/>
        </w:rPr>
        <w:t>完成2021级学生的四年培养周期，</w:t>
      </w:r>
      <w:r>
        <w:rPr>
          <w:rFonts w:hint="eastAsia" w:ascii="仿宋_GB2312" w:hAnsi="仿宋_GB2312" w:eastAsia="仿宋_GB2312" w:cs="仿宋_GB2312"/>
          <w:color w:val="auto"/>
          <w:sz w:val="32"/>
          <w:szCs w:val="32"/>
          <w:lang w:eastAsia="zh-CN"/>
        </w:rPr>
        <w:t>2025届毕业年级共有学生96人，实际获得毕业证9</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人，中方学位授予9</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人，外方</w:t>
      </w:r>
      <w:r>
        <w:rPr>
          <w:rFonts w:hint="eastAsia" w:ascii="仿宋_GB2312" w:hAnsi="仿宋_GB2312" w:eastAsia="仿宋_GB2312" w:cs="仿宋_GB2312"/>
          <w:color w:val="121212"/>
          <w:sz w:val="32"/>
          <w:szCs w:val="32"/>
          <w:lang w:eastAsia="zh-CN"/>
        </w:rPr>
        <w:t>学位授予2人（外方无毕业证）。升学就业方面，共计88人实现稳定发展，其中境内升学18人、境外升学2人，合同协议就业68人。</w:t>
      </w:r>
    </w:p>
    <w:p w14:paraId="35DD8306">
      <w:pPr>
        <w:widowControl w:val="0"/>
        <w:numPr>
          <w:ilvl w:val="0"/>
          <w:numId w:val="1"/>
        </w:numPr>
        <w:kinsoku/>
        <w:autoSpaceDE/>
        <w:autoSpaceDN/>
        <w:spacing w:line="360" w:lineRule="auto"/>
        <w:ind w:firstLine="643" w:firstLineChars="200"/>
        <w:jc w:val="both"/>
        <w:textAlignment w:val="auto"/>
        <w:rPr>
          <w:rFonts w:hint="eastAsia" w:ascii="楷体_GB2312" w:hAnsi="楷体_GB2312" w:eastAsia="楷体_GB2312" w:cs="楷体_GB2312"/>
          <w:b/>
          <w:bCs/>
          <w:snapToGrid/>
          <w:kern w:val="2"/>
          <w:sz w:val="32"/>
          <w:szCs w:val="32"/>
          <w:lang w:eastAsia="zh-CN"/>
        </w:rPr>
      </w:pPr>
      <w:r>
        <w:rPr>
          <w:rFonts w:hint="eastAsia" w:ascii="楷体_GB2312" w:hAnsi="楷体_GB2312" w:eastAsia="楷体_GB2312" w:cs="楷体_GB2312"/>
          <w:b/>
          <w:bCs/>
          <w:snapToGrid/>
          <w:kern w:val="2"/>
          <w:sz w:val="32"/>
          <w:szCs w:val="32"/>
          <w:lang w:eastAsia="zh-CN"/>
        </w:rPr>
        <w:t>学生规模和师资队伍情况</w:t>
      </w:r>
    </w:p>
    <w:p w14:paraId="294889C0">
      <w:pPr>
        <w:widowControl w:val="0"/>
        <w:kinsoku/>
        <w:autoSpaceDE/>
        <w:autoSpaceDN/>
        <w:spacing w:line="360" w:lineRule="auto"/>
        <w:ind w:firstLine="640" w:firstLineChars="200"/>
        <w:jc w:val="both"/>
        <w:textAlignment w:val="auto"/>
        <w:rPr>
          <w:rFonts w:ascii="仿宋_GB2312" w:eastAsia="仿宋_GB2312"/>
          <w:sz w:val="32"/>
          <w:szCs w:val="32"/>
          <w:lang w:eastAsia="zh-CN"/>
        </w:rPr>
      </w:pPr>
      <w:r>
        <w:rPr>
          <w:rFonts w:hint="eastAsia" w:ascii="仿宋_GB2312" w:eastAsia="仿宋_GB2312"/>
          <w:sz w:val="32"/>
          <w:szCs w:val="32"/>
          <w:lang w:eastAsia="zh-CN"/>
        </w:rPr>
        <w:t>中外双方共选派1</w:t>
      </w:r>
      <w:r>
        <w:rPr>
          <w:rFonts w:hint="eastAsia" w:ascii="仿宋_GB2312" w:eastAsia="仿宋_GB2312"/>
          <w:sz w:val="32"/>
          <w:szCs w:val="32"/>
          <w:lang w:val="en-US" w:eastAsia="zh-CN"/>
        </w:rPr>
        <w:t>6</w:t>
      </w:r>
      <w:r>
        <w:rPr>
          <w:rFonts w:hint="eastAsia" w:ascii="仿宋_GB2312" w:eastAsia="仿宋_GB2312"/>
          <w:sz w:val="32"/>
          <w:szCs w:val="32"/>
          <w:lang w:eastAsia="zh-CN"/>
        </w:rPr>
        <w:t>名优秀教师参与教学，其中中方教师1</w:t>
      </w:r>
      <w:r>
        <w:rPr>
          <w:rFonts w:hint="eastAsia" w:ascii="仿宋_GB2312" w:eastAsia="仿宋_GB2312"/>
          <w:sz w:val="32"/>
          <w:szCs w:val="32"/>
          <w:lang w:val="en-US" w:eastAsia="zh-CN"/>
        </w:rPr>
        <w:t>4</w:t>
      </w:r>
      <w:r>
        <w:rPr>
          <w:rFonts w:hint="eastAsia" w:ascii="仿宋_GB2312" w:eastAsia="仿宋_GB2312"/>
          <w:sz w:val="32"/>
          <w:szCs w:val="32"/>
          <w:lang w:eastAsia="zh-CN"/>
        </w:rPr>
        <w:t>人，外方教师2人。本项目总共招生795人，截止到2025年12月31日，共有2022级和2023级2个年级4个班级的在校生207人，生师比约为1</w:t>
      </w:r>
      <w:r>
        <w:rPr>
          <w:rFonts w:hint="eastAsia" w:ascii="仿宋_GB2312" w:eastAsia="仿宋_GB2312"/>
          <w:sz w:val="32"/>
          <w:szCs w:val="32"/>
          <w:lang w:val="en-US" w:eastAsia="zh-CN"/>
        </w:rPr>
        <w:t>3</w:t>
      </w:r>
      <w:r>
        <w:rPr>
          <w:rFonts w:hint="eastAsia" w:ascii="仿宋_GB2312" w:eastAsia="仿宋_GB2312"/>
          <w:sz w:val="32"/>
          <w:szCs w:val="32"/>
          <w:lang w:eastAsia="zh-CN"/>
        </w:rPr>
        <w:t>:1。</w:t>
      </w:r>
    </w:p>
    <w:p w14:paraId="4A8AB4E2">
      <w:pPr>
        <w:widowControl w:val="0"/>
        <w:numPr>
          <w:ilvl w:val="0"/>
          <w:numId w:val="1"/>
        </w:numPr>
        <w:kinsoku/>
        <w:autoSpaceDE/>
        <w:autoSpaceDN/>
        <w:spacing w:line="360" w:lineRule="auto"/>
        <w:ind w:firstLine="643" w:firstLineChars="200"/>
        <w:jc w:val="both"/>
        <w:textAlignment w:val="auto"/>
        <w:rPr>
          <w:rFonts w:hint="eastAsia" w:ascii="楷体_GB2312" w:hAnsi="楷体_GB2312" w:eastAsia="楷体_GB2312" w:cs="楷体_GB2312"/>
          <w:b/>
          <w:bCs/>
          <w:snapToGrid/>
          <w:kern w:val="2"/>
          <w:sz w:val="32"/>
          <w:szCs w:val="32"/>
          <w:lang w:eastAsia="zh-CN"/>
        </w:rPr>
      </w:pPr>
      <w:r>
        <w:rPr>
          <w:rFonts w:hint="eastAsia" w:ascii="楷体_GB2312" w:hAnsi="楷体_GB2312" w:eastAsia="楷体_GB2312" w:cs="楷体_GB2312"/>
          <w:b/>
          <w:bCs/>
          <w:snapToGrid/>
          <w:kern w:val="2"/>
          <w:sz w:val="32"/>
          <w:szCs w:val="32"/>
          <w:lang w:eastAsia="zh-CN"/>
        </w:rPr>
        <w:t>延期变更和参加评估情况</w:t>
      </w:r>
    </w:p>
    <w:p w14:paraId="148B9974">
      <w:pPr>
        <w:widowControl w:val="0"/>
        <w:kinsoku/>
        <w:autoSpaceDE/>
        <w:autoSpaceDN/>
        <w:spacing w:line="360" w:lineRule="auto"/>
        <w:ind w:firstLine="640" w:firstLineChars="200"/>
        <w:jc w:val="both"/>
        <w:textAlignment w:val="auto"/>
        <w:rPr>
          <w:rFonts w:ascii="仿宋_GB2312" w:eastAsia="仿宋_GB2312"/>
          <w:sz w:val="32"/>
          <w:szCs w:val="32"/>
          <w:lang w:eastAsia="zh-CN"/>
        </w:rPr>
      </w:pPr>
      <w:r>
        <w:rPr>
          <w:rFonts w:ascii="仿宋_GB2312" w:eastAsia="仿宋_GB2312"/>
          <w:sz w:val="32"/>
          <w:szCs w:val="32"/>
          <w:lang w:eastAsia="zh-CN"/>
        </w:rPr>
        <w:t>截至2025年度，项目已完成</w:t>
      </w:r>
      <w:r>
        <w:rPr>
          <w:rFonts w:hint="eastAsia" w:ascii="仿宋_GB2312" w:eastAsia="仿宋_GB2312"/>
          <w:sz w:val="32"/>
          <w:szCs w:val="32"/>
          <w:lang w:val="en-US" w:eastAsia="zh-CN"/>
        </w:rPr>
        <w:t>2</w:t>
      </w:r>
      <w:r>
        <w:rPr>
          <w:rFonts w:ascii="仿宋_GB2312" w:eastAsia="仿宋_GB2312"/>
          <w:sz w:val="32"/>
          <w:szCs w:val="32"/>
          <w:lang w:eastAsia="zh-CN"/>
        </w:rPr>
        <w:t>个完整培养周期，累计参加中外合作办学评估</w:t>
      </w:r>
      <w:r>
        <w:rPr>
          <w:rFonts w:hint="eastAsia" w:ascii="仿宋_GB2312" w:eastAsia="仿宋_GB2312"/>
          <w:sz w:val="32"/>
          <w:szCs w:val="32"/>
          <w:lang w:eastAsia="zh-CN"/>
        </w:rPr>
        <w:t>1</w:t>
      </w:r>
      <w:r>
        <w:rPr>
          <w:rFonts w:ascii="仿宋_GB2312" w:eastAsia="仿宋_GB2312"/>
          <w:sz w:val="32"/>
          <w:szCs w:val="32"/>
          <w:lang w:eastAsia="zh-CN"/>
        </w:rPr>
        <w:t>次，评估结果为“</w:t>
      </w:r>
      <w:r>
        <w:rPr>
          <w:rFonts w:hint="eastAsia" w:ascii="仿宋_GB2312" w:eastAsia="仿宋_GB2312"/>
          <w:sz w:val="32"/>
          <w:szCs w:val="32"/>
          <w:lang w:eastAsia="zh-CN"/>
        </w:rPr>
        <w:t>合格</w:t>
      </w:r>
      <w:r>
        <w:rPr>
          <w:rFonts w:ascii="仿宋_GB2312" w:eastAsia="仿宋_GB2312"/>
          <w:sz w:val="32"/>
          <w:szCs w:val="32"/>
          <w:lang w:eastAsia="zh-CN"/>
        </w:rPr>
        <w:t>”</w:t>
      </w:r>
      <w:r>
        <w:rPr>
          <w:rFonts w:hint="eastAsia" w:ascii="仿宋_GB2312" w:eastAsia="仿宋_GB2312"/>
          <w:sz w:val="32"/>
          <w:szCs w:val="32"/>
          <w:lang w:eastAsia="zh-CN"/>
        </w:rPr>
        <w:t>。</w:t>
      </w:r>
    </w:p>
    <w:p w14:paraId="26CC42B4">
      <w:pPr>
        <w:widowControl w:val="0"/>
        <w:kinsoku/>
        <w:spacing w:line="360" w:lineRule="auto"/>
        <w:ind w:firstLine="640" w:firstLineChars="200"/>
        <w:jc w:val="both"/>
        <w:rPr>
          <w:rFonts w:hint="eastAsia" w:ascii="黑体" w:hAnsi="黑体" w:eastAsia="黑体"/>
          <w:sz w:val="32"/>
          <w:szCs w:val="32"/>
          <w:lang w:eastAsia="zh-CN"/>
        </w:rPr>
      </w:pPr>
      <w:r>
        <w:rPr>
          <w:rFonts w:hint="eastAsia" w:ascii="黑体" w:hAnsi="黑体" w:eastAsia="黑体"/>
          <w:sz w:val="32"/>
          <w:szCs w:val="32"/>
          <w:lang w:eastAsia="zh-CN"/>
        </w:rPr>
        <w:t>二、党建思政工作情况</w:t>
      </w:r>
    </w:p>
    <w:p w14:paraId="737B2872">
      <w:pPr>
        <w:widowControl w:val="0"/>
        <w:kinsoku/>
        <w:spacing w:line="360" w:lineRule="auto"/>
        <w:ind w:firstLine="643" w:firstLineChars="200"/>
        <w:jc w:val="both"/>
        <w:rPr>
          <w:rFonts w:ascii="楷体_GB2312" w:eastAsia="楷体_GB2312"/>
          <w:b/>
          <w:bCs/>
          <w:sz w:val="32"/>
          <w:szCs w:val="32"/>
          <w:lang w:eastAsia="zh-CN"/>
        </w:rPr>
      </w:pPr>
      <w:r>
        <w:rPr>
          <w:rFonts w:hint="eastAsia" w:ascii="楷体_GB2312" w:eastAsia="楷体_GB2312"/>
          <w:b/>
          <w:bCs/>
          <w:sz w:val="32"/>
          <w:szCs w:val="32"/>
          <w:lang w:eastAsia="zh-CN"/>
        </w:rPr>
        <w:t>（一）党建工作</w:t>
      </w:r>
    </w:p>
    <w:p w14:paraId="4826D860">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2025年，</w:t>
      </w:r>
      <w:r>
        <w:rPr>
          <w:rFonts w:ascii="仿宋_GB2312" w:eastAsia="仿宋_GB2312"/>
          <w:sz w:val="32"/>
          <w:szCs w:val="32"/>
          <w:lang w:eastAsia="zh-CN"/>
        </w:rPr>
        <w:t>中外合作办学项目党建工作立足国际化办学背景，坚守立德树人根本任务，牢牢把握正确政治方向，广泛凝聚师生共识。项目依托外方优质教育资源赋能人才培养，持续提升办学质量，各项工作取得扎实成效：推动党建工作与项目建设深度融合；建强基层党组织，筑牢党建工作根基；促进中外文明交流互鉴，增进国际理解与友好往来；抓实党风廉政建设，涵养风清气正育人环境；引导党员亮身份、作表率，持续发挥先锋模范作用，永葆党员先进性。</w:t>
      </w:r>
    </w:p>
    <w:p w14:paraId="43F2ABA7">
      <w:pPr>
        <w:widowControl w:val="0"/>
        <w:numPr>
          <w:ilvl w:val="0"/>
          <w:numId w:val="2"/>
        </w:numPr>
        <w:kinsoku/>
        <w:spacing w:line="360" w:lineRule="auto"/>
        <w:ind w:firstLine="643" w:firstLineChars="200"/>
        <w:jc w:val="both"/>
        <w:rPr>
          <w:rFonts w:ascii="楷体_GB2312" w:eastAsia="楷体_GB2312"/>
          <w:b/>
          <w:bCs/>
          <w:sz w:val="32"/>
          <w:szCs w:val="32"/>
          <w:lang w:eastAsia="zh-CN"/>
        </w:rPr>
      </w:pPr>
      <w:r>
        <w:rPr>
          <w:rFonts w:hint="eastAsia" w:ascii="楷体_GB2312" w:eastAsia="楷体_GB2312"/>
          <w:b/>
          <w:bCs/>
          <w:sz w:val="32"/>
          <w:szCs w:val="32"/>
          <w:lang w:eastAsia="zh-CN"/>
        </w:rPr>
        <w:t>意识形态工作</w:t>
      </w:r>
    </w:p>
    <w:p w14:paraId="42BCCE65">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在学</w:t>
      </w:r>
      <w:r>
        <w:rPr>
          <w:rFonts w:hint="eastAsia" w:ascii="仿宋_GB2312" w:eastAsia="仿宋_GB2312"/>
          <w:sz w:val="32"/>
          <w:szCs w:val="32"/>
          <w:lang w:val="en-US" w:eastAsia="zh-CN"/>
        </w:rPr>
        <w:t>校</w:t>
      </w:r>
      <w:r>
        <w:rPr>
          <w:rFonts w:ascii="仿宋_GB2312" w:eastAsia="仿宋_GB2312"/>
          <w:sz w:val="32"/>
          <w:szCs w:val="32"/>
          <w:lang w:eastAsia="zh-CN"/>
        </w:rPr>
        <w:t>党委领导下，坚持以习近平新时代中国特色社会主义思想为指导，持续强化理论武装，不断提升政治站位。理论学习有效增强支部凝聚力与战斗力，为教学提质、科研创新注入强劲动能。</w:t>
      </w:r>
      <w:r>
        <w:rPr>
          <w:rFonts w:hint="eastAsia" w:ascii="仿宋_GB2312" w:eastAsia="仿宋_GB2312"/>
          <w:sz w:val="32"/>
          <w:szCs w:val="32"/>
          <w:lang w:eastAsia="zh-CN"/>
        </w:rPr>
        <w:t>教师党</w:t>
      </w:r>
      <w:r>
        <w:rPr>
          <w:rFonts w:ascii="仿宋_GB2312" w:eastAsia="仿宋_GB2312"/>
          <w:sz w:val="32"/>
          <w:szCs w:val="32"/>
          <w:lang w:eastAsia="zh-CN"/>
        </w:rPr>
        <w:t>支部始终将理论学习作为提升党员政治素养与综合业务能力的核心抓手。</w:t>
      </w:r>
    </w:p>
    <w:p w14:paraId="6046DF7E">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在教学质量提升方面，教师党支部充分发挥党员先锋模范作用。党员教师主动投身教学改革与创新实践，积极探索多元化教学模式，持续优化课堂教学成效；坚持育人为本，着力培育学生创新意识与实践能力，为学生全面成长成才提供坚实支撑。</w:t>
      </w:r>
    </w:p>
    <w:p w14:paraId="19F8C6B5">
      <w:pPr>
        <w:widowControl w:val="0"/>
        <w:kinsoku/>
        <w:spacing w:line="360" w:lineRule="auto"/>
        <w:ind w:firstLine="640" w:firstLineChars="200"/>
        <w:jc w:val="both"/>
        <w:rPr>
          <w:rFonts w:ascii="楷体_GB2312" w:eastAsia="楷体_GB2312"/>
          <w:b/>
          <w:bCs/>
          <w:sz w:val="32"/>
          <w:szCs w:val="32"/>
          <w:lang w:eastAsia="zh-CN"/>
        </w:rPr>
      </w:pPr>
      <w:r>
        <w:rPr>
          <w:rFonts w:ascii="仿宋_GB2312" w:eastAsia="仿宋_GB2312"/>
          <w:sz w:val="32"/>
          <w:szCs w:val="32"/>
          <w:lang w:eastAsia="zh-CN"/>
        </w:rPr>
        <w:t>在科研水平提升方面，支部大力推动教研深度融合。以党建赋能科研工作，为科研项目有序开展筑牢组织保障，引导教师立足教学开展科研攻关，实现教学与科研相互促进、协同发展。</w:t>
      </w:r>
    </w:p>
    <w:p w14:paraId="716C82C8">
      <w:pPr>
        <w:widowControl w:val="0"/>
        <w:kinsoku/>
        <w:spacing w:line="360" w:lineRule="auto"/>
        <w:ind w:firstLine="643" w:firstLineChars="200"/>
        <w:jc w:val="both"/>
        <w:rPr>
          <w:rFonts w:ascii="楷体_GB2312" w:eastAsia="楷体_GB2312"/>
          <w:b/>
          <w:bCs/>
          <w:sz w:val="32"/>
          <w:szCs w:val="32"/>
          <w:lang w:eastAsia="zh-CN"/>
        </w:rPr>
      </w:pPr>
      <w:r>
        <w:rPr>
          <w:rFonts w:hint="eastAsia" w:ascii="楷体_GB2312" w:eastAsia="楷体_GB2312"/>
          <w:b/>
          <w:bCs/>
          <w:sz w:val="32"/>
          <w:szCs w:val="32"/>
          <w:lang w:eastAsia="zh-CN"/>
        </w:rPr>
        <w:t>（三）学生思政工作</w:t>
      </w:r>
    </w:p>
    <w:p w14:paraId="7C995C7C">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项目立足国际化办学，结合学院工科办学特色与电子信息专业人才培养特点，直面多元文化交汇带来的育人挑战，积极探索思政教育新模式，统筹推进思政课程与课程思政建设，着力提升思政教育的针对性、吸引力和实效性，致力于培育兼具家国情怀与国际视野的复合型工程人才。</w:t>
      </w:r>
    </w:p>
    <w:p w14:paraId="4D7F8F2F">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在人才培养教学计划中足额设置思政必修课程，开足开齐各类思政理论课程，将《习近平新时代中国特色社会主义思想概论》等思政课程纳入课程体系，配齐教学课时，规范教学管理，全面满足中外合作办学项目思政课开设要求，切实筑牢学生思想根基，确保社会主义办学方向不动摇。</w:t>
      </w:r>
    </w:p>
    <w:p w14:paraId="0BB3BD43">
      <w:pPr>
        <w:widowControl w:val="0"/>
        <w:numPr>
          <w:ilvl w:val="0"/>
          <w:numId w:val="3"/>
        </w:numPr>
        <w:kinsoku/>
        <w:spacing w:line="360" w:lineRule="auto"/>
        <w:ind w:firstLine="643" w:firstLineChars="200"/>
        <w:jc w:val="both"/>
        <w:rPr>
          <w:rFonts w:ascii="楷体_GB2312" w:eastAsia="楷体_GB2312"/>
          <w:b/>
          <w:bCs/>
          <w:sz w:val="32"/>
          <w:szCs w:val="32"/>
          <w:lang w:eastAsia="zh-CN"/>
        </w:rPr>
      </w:pPr>
      <w:r>
        <w:rPr>
          <w:rFonts w:hint="eastAsia" w:ascii="楷体_GB2312" w:eastAsia="楷体_GB2312"/>
          <w:b/>
          <w:bCs/>
          <w:sz w:val="32"/>
          <w:szCs w:val="32"/>
          <w:lang w:eastAsia="zh-CN"/>
        </w:rPr>
        <w:t>师德师风工作</w:t>
      </w:r>
    </w:p>
    <w:p w14:paraId="2DFD0CBA">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注重加强师德师风建设，坚持把师德师风作为教师队伍建设的第一标准。同时营造风清气正、崇教尚学的教书育人环境。学院充分发挥党员教师在师德建设中的示范引领作用，鼓励党员教师在课堂教学、科研创新、学生指导等工作中亮身份、作表率，以高尚师德潜移默化影响学生，实现师德建设与育人工作同向发力。</w:t>
      </w:r>
    </w:p>
    <w:p w14:paraId="2C54542B">
      <w:pPr>
        <w:widowControl w:val="0"/>
        <w:kinsoku/>
        <w:spacing w:line="360" w:lineRule="auto"/>
        <w:ind w:firstLine="640" w:firstLineChars="200"/>
        <w:jc w:val="both"/>
        <w:rPr>
          <w:rFonts w:ascii="楷体_GB2312" w:eastAsia="楷体_GB2312"/>
          <w:b/>
          <w:bCs/>
          <w:sz w:val="32"/>
          <w:szCs w:val="32"/>
          <w:lang w:eastAsia="zh-CN"/>
        </w:rPr>
      </w:pPr>
      <w:r>
        <w:rPr>
          <w:rFonts w:ascii="仿宋_GB2312" w:eastAsia="仿宋_GB2312"/>
          <w:sz w:val="32"/>
          <w:szCs w:val="32"/>
          <w:lang w:eastAsia="zh-CN"/>
        </w:rPr>
        <w:t>这些举措不断夯实基层党组织建设根基，持续增强党组织的凝聚力、向心力和战斗力，为中外合作办学项目规范有序、高质量健康发展筑牢队伍根基，提供坚实有力的组织保障。</w:t>
      </w:r>
    </w:p>
    <w:p w14:paraId="0B4C9273">
      <w:pPr>
        <w:widowControl w:val="0"/>
        <w:numPr>
          <w:ilvl w:val="0"/>
          <w:numId w:val="3"/>
        </w:numPr>
        <w:kinsoku/>
        <w:spacing w:line="360" w:lineRule="auto"/>
        <w:ind w:firstLine="643" w:firstLineChars="200"/>
        <w:jc w:val="both"/>
        <w:rPr>
          <w:rFonts w:ascii="楷体_GB2312" w:eastAsia="楷体_GB2312"/>
          <w:b/>
          <w:bCs/>
          <w:sz w:val="32"/>
          <w:szCs w:val="32"/>
          <w:lang w:eastAsia="zh-CN"/>
        </w:rPr>
      </w:pPr>
      <w:bookmarkStart w:id="0" w:name="OLE_LINK1"/>
      <w:r>
        <w:rPr>
          <w:rFonts w:hint="eastAsia" w:ascii="楷体_GB2312" w:eastAsia="楷体_GB2312"/>
          <w:b/>
          <w:bCs/>
          <w:sz w:val="32"/>
          <w:szCs w:val="32"/>
          <w:lang w:eastAsia="zh-CN"/>
        </w:rPr>
        <w:t>项目党建发展基本数据</w:t>
      </w:r>
    </w:p>
    <w:p w14:paraId="21DE2F04">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本项目现有教师党支部1个，教师党员24人，学生党支部1个，学生党员53人。发展党员以“坚持标准，保证质量，慎重发展”为方针，坚持个别吸收原则，通过举办入党积极分子培训班、发展对象培训班、预备党员培训班，2025年确定入党积极分子56人，接收预备党员28人，预备党员转正25人。加强党组织建设和党员的培养，增强了党组织的凝聚力和战斗力。教师党员和学生在各自的岗位上发挥了模范带头作用，为项目的顺利发展提供了有力保障。</w:t>
      </w:r>
    </w:p>
    <w:bookmarkEnd w:id="0"/>
    <w:p w14:paraId="3F2C845E">
      <w:pPr>
        <w:widowControl w:val="0"/>
        <w:numPr>
          <w:ilvl w:val="0"/>
          <w:numId w:val="3"/>
        </w:numPr>
        <w:kinsoku/>
        <w:spacing w:line="360" w:lineRule="auto"/>
        <w:ind w:firstLine="643" w:firstLineChars="200"/>
        <w:jc w:val="both"/>
        <w:rPr>
          <w:rFonts w:ascii="楷体_GB2312" w:eastAsia="楷体_GB2312"/>
          <w:b/>
          <w:bCs/>
          <w:sz w:val="32"/>
          <w:szCs w:val="32"/>
          <w:lang w:eastAsia="zh-CN"/>
        </w:rPr>
      </w:pPr>
      <w:r>
        <w:rPr>
          <w:rFonts w:hint="eastAsia" w:ascii="楷体_GB2312" w:eastAsia="楷体_GB2312"/>
          <w:b/>
          <w:bCs/>
          <w:sz w:val="32"/>
          <w:szCs w:val="32"/>
          <w:lang w:eastAsia="zh-CN"/>
        </w:rPr>
        <w:t>薄弱环节及下步措施</w:t>
      </w:r>
    </w:p>
    <w:p w14:paraId="709CEC69">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现阶段项目思政育人工作仍存在一定短板与不足。在实践育人工作中，思政实践活动形式较为传统</w:t>
      </w:r>
      <w:r>
        <w:rPr>
          <w:rFonts w:hint="eastAsia" w:ascii="仿宋_GB2312" w:eastAsia="仿宋_GB2312"/>
          <w:sz w:val="32"/>
          <w:szCs w:val="32"/>
          <w:lang w:eastAsia="zh-CN"/>
        </w:rPr>
        <w:t>。</w:t>
      </w:r>
      <w:r>
        <w:rPr>
          <w:rFonts w:ascii="仿宋_GB2312" w:eastAsia="仿宋_GB2312"/>
          <w:sz w:val="32"/>
          <w:szCs w:val="32"/>
          <w:lang w:eastAsia="zh-CN"/>
        </w:rPr>
        <w:t>第二课堂育人体系建设不够完善，与第一课堂思政育人工作联动衔接不够紧密，双向融合、协同育人的整体效能未能充分发挥。</w:t>
      </w:r>
    </w:p>
    <w:p w14:paraId="4F266743">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针对以上问题，后续将聚焦短板弱项、精准靶向发力，全面提升思政育人质量：</w:t>
      </w:r>
    </w:p>
    <w:p w14:paraId="0F545D92">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一是深耕价值引领，夯实思想育人根基。立足国际化办学特色，引导学生在多元文化交融的环境中坚定理想信念、厚植家国情怀、筑牢文化自信。</w:t>
      </w:r>
    </w:p>
    <w:p w14:paraId="3296508E">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二是创新实践育人载体，提升思政育人实效。推动思政教育与学生专业学习、成长发展深度融合，实现精准育人、润物育人，全方位激活思政育人内生动力。</w:t>
      </w:r>
    </w:p>
    <w:p w14:paraId="6794217F">
      <w:pPr>
        <w:widowControl w:val="0"/>
        <w:kinsoku/>
        <w:spacing w:line="360" w:lineRule="auto"/>
        <w:ind w:firstLine="640" w:firstLineChars="200"/>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三、教育教学工作情况</w:t>
      </w:r>
    </w:p>
    <w:p w14:paraId="08366176">
      <w:pPr>
        <w:widowControl w:val="0"/>
        <w:numPr>
          <w:ilvl w:val="0"/>
          <w:numId w:val="4"/>
        </w:numPr>
        <w:kinsoku/>
        <w:spacing w:line="360" w:lineRule="auto"/>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课程设置</w:t>
      </w:r>
    </w:p>
    <w:p w14:paraId="506C4ED7">
      <w:pPr>
        <w:widowControl w:val="0"/>
        <w:kinsoku/>
        <w:spacing w:line="360" w:lineRule="auto"/>
        <w:ind w:firstLine="640" w:firstLineChars="200"/>
        <w:jc w:val="both"/>
        <w:rPr>
          <w:rFonts w:ascii="仿宋_GB2312" w:eastAsia="仿宋_GB2312"/>
          <w:color w:val="auto"/>
          <w:sz w:val="32"/>
          <w:szCs w:val="32"/>
          <w:lang w:eastAsia="zh-CN"/>
        </w:rPr>
      </w:pPr>
      <w:r>
        <w:rPr>
          <w:rFonts w:hint="eastAsia" w:ascii="仿宋_GB2312" w:eastAsia="仿宋_GB2312"/>
          <w:color w:val="auto"/>
          <w:sz w:val="32"/>
          <w:szCs w:val="32"/>
          <w:lang w:eastAsia="zh-CN"/>
        </w:rPr>
        <w:t>本项目人才培养方案，采取4年标准学制。学生必须修满Ⅰ类学分152学分和Ⅱ类学分（课外实践学分）10学分，共计162学分方可毕业。</w:t>
      </w:r>
      <w:r>
        <w:rPr>
          <w:rFonts w:ascii="仿宋_GB2312" w:eastAsia="仿宋_GB2312"/>
          <w:color w:val="auto"/>
          <w:sz w:val="32"/>
          <w:szCs w:val="32"/>
          <w:lang w:eastAsia="zh-CN"/>
        </w:rPr>
        <w:t>其中</w:t>
      </w:r>
      <w:r>
        <w:rPr>
          <w:rFonts w:hint="eastAsia" w:ascii="宋体" w:hAnsi="宋体" w:eastAsia="宋体" w:cs="宋体"/>
          <w:color w:val="auto"/>
          <w:sz w:val="32"/>
          <w:szCs w:val="32"/>
          <w:lang w:eastAsia="zh-CN"/>
        </w:rPr>
        <w:t>Ⅰ</w:t>
      </w:r>
      <w:r>
        <w:rPr>
          <w:rFonts w:ascii="仿宋_GB2312" w:eastAsia="仿宋_GB2312"/>
          <w:color w:val="auto"/>
          <w:sz w:val="32"/>
          <w:szCs w:val="32"/>
          <w:lang w:eastAsia="zh-CN"/>
        </w:rPr>
        <w:t>类学分包括通识必修课55学分，通识选修课10学分，学科基础课21.5学分，专业核心课22.5学分，专业方向课11学分，专业选修课10学分，综合实践22学分。</w:t>
      </w:r>
      <w:r>
        <w:rPr>
          <w:rFonts w:hint="eastAsia" w:ascii="仿宋_GB2312" w:eastAsia="仿宋_GB2312"/>
          <w:color w:val="auto"/>
          <w:sz w:val="32"/>
          <w:szCs w:val="32"/>
          <w:lang w:eastAsia="zh-CN"/>
        </w:rPr>
        <w:t>培养方案中规定的必修课、选修课全部按计划开出。共开设专业课程26门，其中专业基础课8门，专业核心课13门，专业选修课5门。</w:t>
      </w:r>
      <w:r>
        <w:rPr>
          <w:rFonts w:hint="eastAsia" w:ascii="仿宋_GB2312" w:eastAsia="仿宋_GB2312"/>
          <w:color w:val="auto"/>
          <w:sz w:val="32"/>
          <w:szCs w:val="32"/>
          <w:lang w:val="en-US" w:eastAsia="zh-CN"/>
        </w:rPr>
        <w:t>中外方集优质教学资源保障项目</w:t>
      </w:r>
      <w:r>
        <w:rPr>
          <w:rFonts w:ascii="仿宋_GB2312" w:eastAsia="仿宋_GB2312"/>
          <w:color w:val="auto"/>
          <w:sz w:val="32"/>
          <w:szCs w:val="32"/>
          <w:lang w:eastAsia="zh-CN"/>
        </w:rPr>
        <w:t>先进课程体系有效实施，</w:t>
      </w:r>
      <w:r>
        <w:rPr>
          <w:rFonts w:hint="eastAsia" w:ascii="仿宋_GB2312" w:eastAsia="仿宋_GB2312"/>
          <w:color w:val="auto"/>
          <w:sz w:val="32"/>
          <w:szCs w:val="32"/>
          <w:lang w:val="en-US" w:eastAsia="zh-CN"/>
        </w:rPr>
        <w:t>促进国际化人才培养质量不断提升</w:t>
      </w:r>
      <w:r>
        <w:rPr>
          <w:rFonts w:ascii="仿宋_GB2312" w:eastAsia="仿宋_GB2312"/>
          <w:color w:val="auto"/>
          <w:sz w:val="32"/>
          <w:szCs w:val="32"/>
          <w:lang w:eastAsia="zh-CN"/>
        </w:rPr>
        <w:t>。</w:t>
      </w:r>
    </w:p>
    <w:p w14:paraId="76ACD09B">
      <w:pPr>
        <w:widowControl w:val="0"/>
        <w:numPr>
          <w:ilvl w:val="0"/>
          <w:numId w:val="4"/>
        </w:numPr>
        <w:kinsoku/>
        <w:spacing w:line="360" w:lineRule="auto"/>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师资配备</w:t>
      </w:r>
    </w:p>
    <w:p w14:paraId="1343DAD3">
      <w:pPr>
        <w:widowControl w:val="0"/>
        <w:kinsoku/>
        <w:spacing w:line="360" w:lineRule="auto"/>
        <w:ind w:firstLine="640" w:firstLineChars="200"/>
        <w:jc w:val="both"/>
        <w:rPr>
          <w:rFonts w:ascii="仿宋_GB2312" w:eastAsia="仿宋_GB2312"/>
          <w:color w:val="auto"/>
          <w:sz w:val="32"/>
          <w:szCs w:val="32"/>
          <w:lang w:eastAsia="zh-CN"/>
        </w:rPr>
      </w:pPr>
      <w:r>
        <w:rPr>
          <w:rFonts w:hint="eastAsia" w:ascii="仿宋_GB2312" w:eastAsia="仿宋_GB2312"/>
          <w:color w:val="auto"/>
          <w:sz w:val="32"/>
          <w:szCs w:val="32"/>
          <w:lang w:eastAsia="zh-CN"/>
        </w:rPr>
        <w:t>承担本项目教学任务的中方教师均是依法依规评聘的全职教师，大多数教师具有中高级职称。本年度师资队伍中，高级职称教师8人，占比57.1%，中级职称教师6人，占比42.9%；博士10人，占比71.</w:t>
      </w:r>
      <w:r>
        <w:rPr>
          <w:rFonts w:hint="eastAsia" w:ascii="仿宋_GB2312" w:eastAsia="仿宋_GB2312"/>
          <w:color w:val="auto"/>
          <w:sz w:val="32"/>
          <w:szCs w:val="32"/>
          <w:lang w:val="en-US" w:eastAsia="zh-CN"/>
        </w:rPr>
        <w:t>5</w:t>
      </w:r>
      <w:r>
        <w:rPr>
          <w:rFonts w:hint="eastAsia" w:ascii="仿宋_GB2312" w:eastAsia="仿宋_GB2312"/>
          <w:color w:val="auto"/>
          <w:sz w:val="32"/>
          <w:szCs w:val="32"/>
          <w:lang w:eastAsia="zh-CN"/>
        </w:rPr>
        <w:t>%，硕士3人，占比21.4%，学士1人，占比7.1%。多名教师具有海外留学或进修的教育背景。在外教的选聘上，根据中外双方合作办学协议规定，外方定期派遣专业课程教师到我校授课，每名教师讲授1-2门专业课程。</w:t>
      </w:r>
    </w:p>
    <w:p w14:paraId="0CA18258">
      <w:pPr>
        <w:widowControl w:val="0"/>
        <w:numPr>
          <w:ilvl w:val="0"/>
          <w:numId w:val="4"/>
        </w:numPr>
        <w:kinsoku/>
        <w:spacing w:line="360" w:lineRule="auto"/>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教学质量</w:t>
      </w:r>
    </w:p>
    <w:p w14:paraId="7F0F945B">
      <w:pPr>
        <w:widowControl w:val="0"/>
        <w:kinsoku/>
        <w:spacing w:line="360" w:lineRule="auto"/>
        <w:ind w:firstLine="640" w:firstLineChars="200"/>
        <w:jc w:val="both"/>
        <w:rPr>
          <w:rFonts w:ascii="仿宋_GB2312" w:eastAsia="仿宋_GB2312"/>
          <w:color w:val="auto"/>
          <w:sz w:val="32"/>
          <w:szCs w:val="32"/>
          <w:lang w:eastAsia="zh-CN"/>
        </w:rPr>
      </w:pPr>
      <w:r>
        <w:rPr>
          <w:rFonts w:ascii="仿宋_GB2312" w:eastAsia="仿宋_GB2312"/>
          <w:color w:val="auto"/>
          <w:sz w:val="32"/>
          <w:szCs w:val="32"/>
          <w:lang w:eastAsia="zh-CN"/>
        </w:rPr>
        <w:t>学院立足中外合作办学人才培养实际，构建完善的教学质量保障与监控体系</w:t>
      </w:r>
      <w:r>
        <w:rPr>
          <w:rFonts w:hint="eastAsia" w:ascii="仿宋_GB2312" w:eastAsia="仿宋_GB2312"/>
          <w:color w:val="auto"/>
          <w:sz w:val="32"/>
          <w:szCs w:val="32"/>
          <w:lang w:eastAsia="zh-CN"/>
        </w:rPr>
        <w:t>。</w:t>
      </w:r>
      <w:r>
        <w:rPr>
          <w:rFonts w:ascii="仿宋_GB2312" w:eastAsia="仿宋_GB2312"/>
          <w:color w:val="auto"/>
          <w:sz w:val="32"/>
          <w:szCs w:val="32"/>
          <w:lang w:eastAsia="zh-CN"/>
        </w:rPr>
        <w:t>学校、学院两级统筹完善教学管理制度体系，出台系列规范化管理文件，明确各环节质量标准、管控细则与评价机制，为规范化、标准化办学提供坚实制度支撑。同时，</w:t>
      </w:r>
      <w:r>
        <w:rPr>
          <w:rFonts w:hint="eastAsia" w:ascii="仿宋_GB2312" w:eastAsia="仿宋_GB2312"/>
          <w:color w:val="auto"/>
          <w:sz w:val="32"/>
          <w:szCs w:val="32"/>
          <w:lang w:eastAsia="zh-CN"/>
        </w:rPr>
        <w:t>学院</w:t>
      </w:r>
      <w:r>
        <w:rPr>
          <w:rFonts w:ascii="仿宋_GB2312" w:eastAsia="仿宋_GB2312"/>
          <w:color w:val="auto"/>
          <w:sz w:val="32"/>
          <w:szCs w:val="32"/>
          <w:lang w:eastAsia="zh-CN"/>
        </w:rPr>
        <w:t>配套细化专项教学管理细则，进一步规范日常教学运行、课程实施与考核管理流程，层层压实教学质量管控责任。</w:t>
      </w:r>
    </w:p>
    <w:p w14:paraId="13BB7222">
      <w:pPr>
        <w:widowControl w:val="0"/>
        <w:kinsoku/>
        <w:spacing w:line="360" w:lineRule="auto"/>
        <w:ind w:firstLine="640" w:firstLineChars="200"/>
        <w:jc w:val="both"/>
        <w:rPr>
          <w:rFonts w:ascii="仿宋_GB2312" w:eastAsia="仿宋_GB2312"/>
          <w:color w:val="auto"/>
          <w:sz w:val="32"/>
          <w:szCs w:val="32"/>
          <w:lang w:eastAsia="zh-CN"/>
        </w:rPr>
      </w:pPr>
      <w:r>
        <w:rPr>
          <w:rFonts w:ascii="仿宋_GB2312" w:eastAsia="仿宋_GB2312"/>
          <w:color w:val="auto"/>
          <w:sz w:val="32"/>
          <w:szCs w:val="32"/>
          <w:lang w:eastAsia="zh-CN"/>
        </w:rPr>
        <w:t>在常态化评价机制方面，学院建立常态化、周期性的质量评价体系，固定开展各类教学质量评估工作。经过长期建设，我校已形成权责清晰、运行高效的校院两级教学质量评价与监控体系，全方位保障人才培养质量稳步提升。</w:t>
      </w:r>
    </w:p>
    <w:p w14:paraId="19162B57">
      <w:pPr>
        <w:widowControl w:val="0"/>
        <w:kinsoku/>
        <w:spacing w:line="360" w:lineRule="auto"/>
        <w:ind w:firstLine="640" w:firstLineChars="200"/>
        <w:jc w:val="both"/>
        <w:rPr>
          <w:rFonts w:ascii="仿宋_GB2312" w:eastAsia="仿宋_GB2312"/>
          <w:color w:val="auto"/>
          <w:sz w:val="32"/>
          <w:szCs w:val="32"/>
          <w:lang w:eastAsia="zh-CN"/>
        </w:rPr>
      </w:pPr>
      <w:r>
        <w:rPr>
          <w:rFonts w:ascii="仿宋_GB2312" w:eastAsia="仿宋_GB2312"/>
          <w:color w:val="auto"/>
          <w:sz w:val="32"/>
          <w:szCs w:val="32"/>
          <w:lang w:eastAsia="zh-CN"/>
        </w:rPr>
        <w:t>在国际化教学质量管控层面，项目搭建中外联合督导保障机制，专门成立中外教学质量联合委员会，每学期至少召开一次线上专项会议，严格审核学期教学计划，确保适配中外双方教育教学质量标准。同时外方院校委派专职教师入校督导外方课程落地实施，中方教务处全程跟进监督、动态跟踪教学全过程，双向联动筑牢国际化办学教学质量防线。</w:t>
      </w:r>
    </w:p>
    <w:p w14:paraId="50164AB9">
      <w:pPr>
        <w:widowControl w:val="0"/>
        <w:kinsoku/>
        <w:spacing w:line="360" w:lineRule="auto"/>
        <w:ind w:firstLine="640" w:firstLineChars="200"/>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四、人才培养成效</w:t>
      </w:r>
    </w:p>
    <w:p w14:paraId="16DD419C">
      <w:pPr>
        <w:widowControl w:val="0"/>
        <w:numPr>
          <w:ilvl w:val="0"/>
          <w:numId w:val="5"/>
        </w:numPr>
        <w:kinsoku/>
        <w:spacing w:line="360" w:lineRule="auto"/>
        <w:ind w:firstLine="643" w:firstLineChars="200"/>
        <w:jc w:val="both"/>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培养目标达成情况</w:t>
      </w:r>
    </w:p>
    <w:p w14:paraId="762FC313">
      <w:pPr>
        <w:widowControl w:val="0"/>
        <w:kinsoku/>
        <w:spacing w:line="360" w:lineRule="auto"/>
        <w:ind w:firstLine="640" w:firstLineChars="200"/>
        <w:jc w:val="both"/>
        <w:rPr>
          <w:rFonts w:ascii="仿宋_GB2312" w:eastAsia="仿宋_GB2312"/>
          <w:color w:val="auto"/>
          <w:sz w:val="32"/>
          <w:szCs w:val="32"/>
          <w:lang w:eastAsia="zh-CN"/>
        </w:rPr>
      </w:pPr>
      <w:r>
        <w:rPr>
          <w:rFonts w:ascii="仿宋_GB2312" w:eastAsia="仿宋_GB2312"/>
          <w:color w:val="auto"/>
          <w:sz w:val="32"/>
          <w:szCs w:val="32"/>
          <w:lang w:eastAsia="zh-CN"/>
        </w:rPr>
        <w:t>项目聚焦学生专业核心素养培育，让学生扎实掌握专业理论知识与实践应用技能，锤炼跨文化协作能力与创新思辨思维。在课程体系建设中，充分融合中外课程教学优势，搭建国际化、复合型课程育人体系，营造沉浸式国际化育人氛围，助力学生拓宽国际视野、夯实专业根基。</w:t>
      </w:r>
    </w:p>
    <w:p w14:paraId="215BB487">
      <w:pPr>
        <w:widowControl w:val="0"/>
        <w:kinsoku/>
        <w:spacing w:line="360" w:lineRule="auto"/>
        <w:ind w:firstLine="640" w:firstLineChars="200"/>
        <w:jc w:val="both"/>
        <w:rPr>
          <w:rFonts w:hint="eastAsia" w:ascii="楷体_GB2312" w:hAnsi="楷体_GB2312" w:eastAsia="楷体_GB2312" w:cs="楷体_GB2312"/>
          <w:b/>
          <w:bCs/>
          <w:sz w:val="32"/>
          <w:szCs w:val="32"/>
          <w:lang w:eastAsia="zh-CN"/>
        </w:rPr>
      </w:pPr>
      <w:r>
        <w:rPr>
          <w:rFonts w:ascii="仿宋_GB2312" w:eastAsia="仿宋_GB2312"/>
          <w:color w:val="auto"/>
          <w:sz w:val="32"/>
          <w:szCs w:val="32"/>
          <w:lang w:eastAsia="zh-CN"/>
        </w:rPr>
        <w:t>针对外方全英文授课带来的语言难题，</w:t>
      </w:r>
      <w:r>
        <w:rPr>
          <w:rFonts w:hint="eastAsia" w:ascii="仿宋_GB2312" w:eastAsia="仿宋_GB2312"/>
          <w:color w:val="auto"/>
          <w:sz w:val="32"/>
          <w:szCs w:val="32"/>
          <w:lang w:eastAsia="zh-CN"/>
        </w:rPr>
        <w:t>项目</w:t>
      </w:r>
      <w:r>
        <w:rPr>
          <w:rFonts w:ascii="仿宋_GB2312" w:eastAsia="仿宋_GB2312"/>
          <w:color w:val="auto"/>
          <w:sz w:val="32"/>
          <w:szCs w:val="32"/>
          <w:lang w:eastAsia="zh-CN"/>
        </w:rPr>
        <w:t>搭建线上自主学习平台，整合外方课程预习素材、双语教学课件、专项学习资料等优质资源，构建线上线下联动的学习帮扶体系，有效帮助学生突破语言壁垒，快速适配全英文授课教学模式，保障国际化课程教学有序高效推进。</w:t>
      </w:r>
    </w:p>
    <w:p w14:paraId="7C3E5499">
      <w:pPr>
        <w:widowControl w:val="0"/>
        <w:numPr>
          <w:ilvl w:val="0"/>
          <w:numId w:val="5"/>
        </w:numPr>
        <w:kinsoku/>
        <w:spacing w:line="360" w:lineRule="auto"/>
        <w:ind w:firstLine="643" w:firstLineChars="200"/>
        <w:jc w:val="both"/>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学生发展支持体系建设</w:t>
      </w:r>
    </w:p>
    <w:p w14:paraId="012F7F02">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在人才培养全过程中，学院立足国际化育人特色，聚焦学生成长成才核心需求</w:t>
      </w:r>
      <w:r>
        <w:rPr>
          <w:rFonts w:hint="eastAsia" w:ascii="仿宋_GB2312" w:eastAsia="仿宋_GB2312"/>
          <w:sz w:val="32"/>
          <w:szCs w:val="32"/>
          <w:lang w:eastAsia="zh-CN"/>
        </w:rPr>
        <w:t>，</w:t>
      </w:r>
      <w:r>
        <w:rPr>
          <w:rFonts w:ascii="仿宋_GB2312" w:eastAsia="仿宋_GB2312"/>
          <w:sz w:val="32"/>
          <w:szCs w:val="32"/>
          <w:lang w:eastAsia="zh-CN"/>
        </w:rPr>
        <w:t>搭建精准化、分层化学业指导体系，</w:t>
      </w:r>
      <w:r>
        <w:rPr>
          <w:rFonts w:hint="eastAsia" w:ascii="仿宋_GB2312" w:eastAsia="仿宋_GB2312"/>
          <w:sz w:val="32"/>
          <w:szCs w:val="32"/>
          <w:lang w:eastAsia="zh-CN"/>
        </w:rPr>
        <w:t>解决</w:t>
      </w:r>
      <w:r>
        <w:rPr>
          <w:rFonts w:ascii="仿宋_GB2312" w:eastAsia="仿宋_GB2312"/>
          <w:sz w:val="32"/>
          <w:szCs w:val="32"/>
          <w:lang w:eastAsia="zh-CN"/>
        </w:rPr>
        <w:t>中外合作办学课程衔接难、专业学习门槛高的痛点。针对中外课程体系差异、全英文授课适配难点，以及数字电子技术、通信原理、嵌入式技术及应用等核心专业课程的学习重难点，组建由中外专业骨干教师、专职学业辅导员协同联动的专项指导团队，精准对接学生个性化学习需求。</w:t>
      </w:r>
    </w:p>
    <w:p w14:paraId="47480499">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常态化开设答疑工坊、学业帮扶讲座</w:t>
      </w:r>
      <w:r>
        <w:rPr>
          <w:rFonts w:hint="eastAsia" w:ascii="仿宋_GB2312" w:eastAsia="仿宋_GB2312"/>
          <w:sz w:val="32"/>
          <w:szCs w:val="32"/>
          <w:lang w:eastAsia="zh-CN"/>
        </w:rPr>
        <w:t>等</w:t>
      </w:r>
      <w:r>
        <w:rPr>
          <w:rFonts w:ascii="仿宋_GB2312" w:eastAsia="仿宋_GB2312"/>
          <w:sz w:val="32"/>
          <w:szCs w:val="32"/>
          <w:lang w:eastAsia="zh-CN"/>
        </w:rPr>
        <w:t>，为基础薄弱学生提供一对一精准辅导、全程学业跟踪帮扶，补齐学习短板</w:t>
      </w:r>
      <w:r>
        <w:rPr>
          <w:rFonts w:hint="eastAsia" w:ascii="仿宋_GB2312" w:eastAsia="仿宋_GB2312"/>
          <w:sz w:val="32"/>
          <w:szCs w:val="32"/>
          <w:lang w:eastAsia="zh-CN"/>
        </w:rPr>
        <w:t>。</w:t>
      </w:r>
      <w:r>
        <w:rPr>
          <w:rFonts w:ascii="仿宋_GB2312" w:eastAsia="仿宋_GB2312"/>
          <w:sz w:val="32"/>
          <w:szCs w:val="32"/>
          <w:lang w:eastAsia="zh-CN"/>
        </w:rPr>
        <w:t>同时为学有余力、乐于钻研的学生搭建高水平科研创新培育平台，积极引导学生参与全国大学生电子设计竞赛、创新创业大赛等各类高水平学科竞赛，对接中外联合科研课题与创新实践项目，以赛促学、以研促练，有效锤炼学生专业实操能力、科研思维与创新实践能力。</w:t>
      </w:r>
    </w:p>
    <w:p w14:paraId="63370626">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围绕学生英文应用、学术交流、跨文化协作能力提升需求，开设专业英语沙龙、外文文献研读分享会，系统强化学生专业英文读写、学术表达与国际交流能力，适配全英文专业教学与境外学术交流场景。</w:t>
      </w:r>
      <w:r>
        <w:rPr>
          <w:rFonts w:hint="eastAsia" w:ascii="仿宋_GB2312" w:eastAsia="仿宋_GB2312"/>
          <w:sz w:val="32"/>
          <w:szCs w:val="32"/>
          <w:lang w:eastAsia="zh-CN"/>
        </w:rPr>
        <w:t>项目</w:t>
      </w:r>
      <w:r>
        <w:rPr>
          <w:rFonts w:ascii="仿宋_GB2312" w:eastAsia="仿宋_GB2312"/>
          <w:sz w:val="32"/>
          <w:szCs w:val="32"/>
          <w:lang w:eastAsia="zh-CN"/>
        </w:rPr>
        <w:t>积极对接外方院校优质资源，开设短期海外研学项目，组织中外师生开展线上线下双向研讨、学术互动、文化交流活动，帮助学生深度融入国际化教学环境，拓宽国际视野，全面培育适配跨境学习、国际从业的跨文化沟通与协同协作能力。</w:t>
      </w:r>
    </w:p>
    <w:p w14:paraId="0CA17D42">
      <w:pPr>
        <w:widowControl w:val="0"/>
        <w:numPr>
          <w:ilvl w:val="0"/>
          <w:numId w:val="5"/>
        </w:numPr>
        <w:kinsoku/>
        <w:spacing w:line="360" w:lineRule="auto"/>
        <w:ind w:firstLine="643" w:firstLineChars="200"/>
        <w:jc w:val="both"/>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学生国际视野与跨文化交流能力培养与实习实践</w:t>
      </w:r>
    </w:p>
    <w:p w14:paraId="67BCC209">
      <w:pPr>
        <w:widowControl w:val="0"/>
        <w:kinsoku/>
        <w:spacing w:line="360" w:lineRule="auto"/>
        <w:ind w:firstLine="640" w:firstLineChars="200"/>
        <w:jc w:val="both"/>
        <w:rPr>
          <w:rFonts w:hint="eastAsia" w:ascii="楷体_GB2312" w:hAnsi="楷体_GB2312" w:eastAsia="楷体_GB2312" w:cs="楷体_GB2312"/>
          <w:b/>
          <w:bCs/>
          <w:sz w:val="32"/>
          <w:szCs w:val="32"/>
          <w:lang w:eastAsia="zh-CN"/>
        </w:rPr>
      </w:pPr>
      <w:r>
        <w:rPr>
          <w:rFonts w:hint="eastAsia" w:ascii="仿宋_GB2312" w:eastAsia="仿宋_GB2312"/>
          <w:sz w:val="32"/>
          <w:szCs w:val="32"/>
          <w:lang w:eastAsia="zh-CN"/>
        </w:rPr>
        <w:t>作为中外合作办学项目，培养学生国际视野与跨文化交流能力是核心特色之一，项目通过“引进来+走出去”双路径，为学生搭建多元化国际交流平台。除了引进外方优质教育教学资源外，学生“走出去”也很活跃。2025年共有21名学生利用寒暑假赴境外参加研学活动，在跨文化环境中不仅提升了专业认知，更锻炼了国际沟通与适应能力，拓宽了国际化视野，提升了跨文化交流信心与能力，相关能力在后续实习、就业中得到企业高度认可。</w:t>
      </w:r>
    </w:p>
    <w:p w14:paraId="7841872C">
      <w:pPr>
        <w:widowControl w:val="0"/>
        <w:numPr>
          <w:ilvl w:val="0"/>
          <w:numId w:val="5"/>
        </w:numPr>
        <w:kinsoku/>
        <w:spacing w:line="360" w:lineRule="auto"/>
        <w:ind w:firstLine="643" w:firstLineChars="200"/>
        <w:jc w:val="both"/>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升学与就业</w:t>
      </w:r>
    </w:p>
    <w:p w14:paraId="7779A3CF">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在就业和考研工作上，积极发动班主任、任课老师参与其中，发挥老师的经验优势和资源优势，指导并帮助学生撰写个人简历，积极推荐就业单位。对于考研的学生，指导学生复习备考，分析考研政策，帮助学生选择合适的考研学校和调剂学校，并时刻关注学生的考研进度。学生进入面试环节，老师们亲自联系导师，分享面试技巧。</w:t>
      </w:r>
    </w:p>
    <w:p w14:paraId="3FBD7997">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在升学方面，项目凭借中外融合的课程体系与国际交流优势，为学生升学提供有力支撑。2025年度共有20名学生考取国内外研究生，考研录取率20.8%。2名学生荣获国家奖学金。就业方面，2025年就业率达91.7%，优质就业率21.8%。</w:t>
      </w:r>
    </w:p>
    <w:p w14:paraId="23306D00">
      <w:pPr>
        <w:widowControl w:val="0"/>
        <w:kinsoku/>
        <w:spacing w:line="360" w:lineRule="auto"/>
        <w:ind w:firstLine="640" w:firstLineChars="200"/>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五、财务管理情况</w:t>
      </w:r>
    </w:p>
    <w:p w14:paraId="1378B565">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本项目坚定不移坚持中外合作办学的非营利性原则，严格遵守国家有关规定，根据湖北省物价局批复的收费许可证中的标准，并按照学校的财务管理制度执行，收费标准均在湖北第二师范学院财务处官网及湖北第二师范学院信息公开网进行公示。按照审批、公示、收费的工作程序，按学年收取学费和住宿费。</w:t>
      </w:r>
      <w:r>
        <w:rPr>
          <w:rFonts w:hint="eastAsia" w:ascii="仿宋_GB2312" w:hAnsi="仿宋_GB2312" w:eastAsia="仿宋_GB2312" w:cs="仿宋_GB2312"/>
          <w:sz w:val="32"/>
          <w:szCs w:val="32"/>
          <w:lang w:eastAsia="zh-CN"/>
        </w:rPr>
        <w:t>本项目设立专项经费项目，财务收支核算由学校财务处统一管理，</w:t>
      </w:r>
      <w:r>
        <w:rPr>
          <w:rFonts w:hint="eastAsia" w:ascii="仿宋_GB2312" w:eastAsia="仿宋_GB2312"/>
          <w:sz w:val="32"/>
          <w:szCs w:val="32"/>
          <w:lang w:eastAsia="zh-CN"/>
        </w:rPr>
        <w:t>收取的费用全部用于本项目教育教学、办学成本以及改善办学条件等的支出。</w:t>
      </w:r>
    </w:p>
    <w:p w14:paraId="4DCF6F33">
      <w:pPr>
        <w:widowControl w:val="0"/>
        <w:kinsoku/>
        <w:spacing w:line="360" w:lineRule="auto"/>
        <w:ind w:firstLine="640" w:firstLineChars="200"/>
        <w:jc w:val="both"/>
        <w:rPr>
          <w:rFonts w:hint="eastAsia" w:ascii="黑体" w:hAnsi="黑体" w:eastAsia="黑体" w:cs="黑体"/>
          <w:sz w:val="32"/>
          <w:szCs w:val="32"/>
        </w:rPr>
      </w:pPr>
      <w:r>
        <w:rPr>
          <w:rFonts w:hint="eastAsia" w:ascii="黑体" w:hAnsi="黑体" w:eastAsia="黑体" w:cs="黑体"/>
          <w:sz w:val="32"/>
          <w:szCs w:val="32"/>
        </w:rPr>
        <w:t>六、组织管理情况</w:t>
      </w:r>
    </w:p>
    <w:p w14:paraId="11D47FE3">
      <w:pPr>
        <w:widowControl w:val="0"/>
        <w:numPr>
          <w:ilvl w:val="0"/>
          <w:numId w:val="6"/>
        </w:numPr>
        <w:kinsoku/>
        <w:spacing w:line="360" w:lineRule="auto"/>
        <w:ind w:firstLine="643" w:firstLineChars="200"/>
        <w:jc w:val="both"/>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双方联合管理体制机制运行情况</w:t>
      </w:r>
    </w:p>
    <w:p w14:paraId="7FCF1CA7">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学校高度重视本中外合作办学项目建设与日常教学管理工作，为统筹推进项目高质量建设，中外双方联合组建项目管理委员会，持续优化项目管理队伍与学生工作队伍配置。项目现有管理人员</w:t>
      </w:r>
      <w:r>
        <w:rPr>
          <w:rFonts w:hint="eastAsia" w:ascii="仿宋_GB2312" w:eastAsia="仿宋_GB2312"/>
          <w:sz w:val="32"/>
          <w:szCs w:val="32"/>
          <w:lang w:eastAsia="zh-CN"/>
        </w:rPr>
        <w:t>结构</w:t>
      </w:r>
      <w:r>
        <w:rPr>
          <w:rFonts w:ascii="仿宋_GB2312" w:eastAsia="仿宋_GB2312"/>
          <w:sz w:val="32"/>
          <w:szCs w:val="32"/>
          <w:lang w:eastAsia="zh-CN"/>
        </w:rPr>
        <w:t>合理、</w:t>
      </w:r>
      <w:r>
        <w:rPr>
          <w:rFonts w:hint="eastAsia" w:ascii="仿宋_GB2312" w:eastAsia="仿宋_GB2312"/>
          <w:sz w:val="32"/>
          <w:szCs w:val="32"/>
          <w:lang w:eastAsia="zh-CN"/>
        </w:rPr>
        <w:t>经验丰富。</w:t>
      </w:r>
      <w:r>
        <w:rPr>
          <w:rFonts w:ascii="仿宋_GB2312" w:eastAsia="仿宋_GB2312"/>
          <w:sz w:val="32"/>
          <w:szCs w:val="32"/>
          <w:lang w:eastAsia="zh-CN"/>
        </w:rPr>
        <w:t>专职辅导员履职尽责、深耕学生思政与日常管理工作，为项目平稳有序运行筑牢管理根基。外方授课教师及管理人员由合作院校择优选派，外籍人员入校履职期间，严格遵照《湖北第二师范学院外籍教师聘请及管理工作流程》开展教学与相关工作，实现外籍师资规范化、制度化管理。</w:t>
      </w:r>
    </w:p>
    <w:p w14:paraId="44493389">
      <w:pPr>
        <w:widowControl w:val="0"/>
        <w:numPr>
          <w:ilvl w:val="0"/>
          <w:numId w:val="6"/>
        </w:numPr>
        <w:kinsoku/>
        <w:spacing w:line="360" w:lineRule="auto"/>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制度建设管理情况</w:t>
      </w:r>
    </w:p>
    <w:p w14:paraId="66098C45">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在项目运行过程中，学校始终坚持以人为本，以学生为主体，与学生建立了有效的沟通机制，为学生提供了良好的服务。学校按照国家的有关规定，建立了完善的学生管理服务体系，为学生配备辅导员和班主任等管理队伍。通过党团教育、召开座谈会、“两访两创”一对一访谈学生，通过专业学习指导、语言培训、就业创业指导、出国咨询、心理辅导以及构建“奖贷困助补”体系等形式，帮助学生解决学习、生活中遇到的各种问题。在学生中设立党支部、团总支、学生会及各种社团，建立了多层次全方位的沟通平台和渠道。</w:t>
      </w:r>
    </w:p>
    <w:p w14:paraId="34B4E836">
      <w:pPr>
        <w:widowControl w:val="0"/>
        <w:kinsoku/>
        <w:spacing w:line="360" w:lineRule="auto"/>
        <w:ind w:firstLine="640" w:firstLineChars="200"/>
        <w:jc w:val="both"/>
        <w:rPr>
          <w:rFonts w:hint="eastAsia" w:ascii="仿宋_GB2312" w:hAnsi="仿宋_GB2312" w:eastAsia="仿宋_GB2312" w:cs="仿宋_GB2312"/>
          <w:color w:val="FF0000"/>
          <w:sz w:val="32"/>
          <w:szCs w:val="32"/>
          <w:lang w:eastAsia="zh-CN"/>
        </w:rPr>
      </w:pPr>
      <w:r>
        <w:rPr>
          <w:rFonts w:hint="eastAsia" w:ascii="仿宋_GB2312" w:eastAsia="仿宋_GB2312"/>
          <w:sz w:val="32"/>
          <w:szCs w:val="32"/>
          <w:lang w:eastAsia="zh-CN"/>
        </w:rPr>
        <w:t>学校加强与省厅的联系，向湖北省教育厅对外合作与交流处定期汇报项目的运行情况，及时反馈办学情况，积极参加该处组织的关于中外合作办学的工作会议。每年按时向教育部提交年度报告，并就办学过程中出现的问题，积极与上级部门沟通，得到了省教育厅的大力支持与帮助。</w:t>
      </w:r>
    </w:p>
    <w:p w14:paraId="18C5ECCD">
      <w:pPr>
        <w:widowControl w:val="0"/>
        <w:numPr>
          <w:ilvl w:val="0"/>
          <w:numId w:val="6"/>
        </w:numPr>
        <w:kinsoku/>
        <w:spacing w:line="360" w:lineRule="auto"/>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管理团队（服务）情况</w:t>
      </w:r>
    </w:p>
    <w:p w14:paraId="1C27942C">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该项目管理机构在实际工作中，严格遵循接受中国教育主管部门管理规章制度。自本项目被教育部批准以来，我校严格按照《中华人民共和国中外合作办学条例》和《中华人民共和国中外合作办学条例实施办法》精神，在湖北省教育厅</w:t>
      </w:r>
      <w:r>
        <w:rPr>
          <w:rFonts w:hint="eastAsia" w:ascii="仿宋_GB2312" w:eastAsia="仿宋_GB2312"/>
          <w:sz w:val="32"/>
          <w:szCs w:val="32"/>
          <w:lang w:val="en-US" w:eastAsia="zh-CN"/>
        </w:rPr>
        <w:t>和学校党委</w:t>
      </w:r>
      <w:r>
        <w:rPr>
          <w:rFonts w:hint="eastAsia" w:ascii="仿宋_GB2312" w:eastAsia="仿宋_GB2312"/>
          <w:sz w:val="32"/>
          <w:szCs w:val="32"/>
          <w:lang w:eastAsia="zh-CN"/>
        </w:rPr>
        <w:t>的领导下严格依法管理，规范办学。</w:t>
      </w:r>
    </w:p>
    <w:p w14:paraId="1AC601E7">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根据我校与外方联合签订的办学协议，共同组建联合管理委员会这一重要管理机构，在开展中外合作办学的过程中，坚决贯彻国家的教育方针，严格履行职能，在重大决策、项目运行管理、专业建设、课程建设等方面起到了领导和监督作用。学院全面负责学生的日常教学与人才培养，包括专业建设、制定培养方案、引进外教教育资源以及师资配备、培训等内容。学校国际交流与合作处、教务处、教学质量</w:t>
      </w:r>
      <w:r>
        <w:rPr>
          <w:rFonts w:hint="eastAsia" w:ascii="仿宋_GB2312" w:eastAsia="仿宋_GB2312"/>
          <w:sz w:val="32"/>
          <w:szCs w:val="32"/>
          <w:lang w:val="en-US" w:eastAsia="zh-CN"/>
        </w:rPr>
        <w:t>监</w:t>
      </w:r>
      <w:r>
        <w:rPr>
          <w:rFonts w:hint="eastAsia" w:ascii="仿宋_GB2312" w:eastAsia="仿宋_GB2312"/>
          <w:sz w:val="32"/>
          <w:szCs w:val="32"/>
          <w:lang w:eastAsia="zh-CN"/>
        </w:rPr>
        <w:t>测与评估中心、财务处等部门按照职责分工，参与项目管理。</w:t>
      </w:r>
    </w:p>
    <w:p w14:paraId="01525AD9">
      <w:pPr>
        <w:widowControl w:val="0"/>
        <w:numPr>
          <w:ilvl w:val="0"/>
          <w:numId w:val="6"/>
        </w:numPr>
        <w:kinsoku/>
        <w:spacing w:line="360" w:lineRule="auto"/>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推动就业情况</w:t>
      </w:r>
    </w:p>
    <w:p w14:paraId="31D27EBF">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项目搭建的中方主导、外方协同、权责明晰、运行顺畅的组织管理架构，一体化统筹项目教学组织实施、师资队伍共建共管、学生全过程培养管理、毕业生就业指导服务等重点工作，保障中外合作办学项目规范有序落地。</w:t>
      </w:r>
    </w:p>
    <w:p w14:paraId="4C86616A">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依托本项目的国际化培养体系，为学生申请海外硕士研究生、赴境外就业发展搭建平台，拓宽学生深造与职业发展路径，有效提升毕业生升学与就业质量，对整体就业率提升发挥显著作用。</w:t>
      </w:r>
    </w:p>
    <w:p w14:paraId="5568A8D3">
      <w:pPr>
        <w:widowControl w:val="0"/>
        <w:numPr>
          <w:ilvl w:val="0"/>
          <w:numId w:val="6"/>
        </w:numPr>
        <w:kinsoku/>
        <w:spacing w:line="360" w:lineRule="auto"/>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薄弱环节及下步举措</w:t>
      </w:r>
    </w:p>
    <w:p w14:paraId="50B96589">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在实际运行中，</w:t>
      </w:r>
      <w:r>
        <w:rPr>
          <w:rFonts w:ascii="仿宋_GB2312" w:eastAsia="仿宋_GB2312"/>
          <w:sz w:val="32"/>
          <w:szCs w:val="32"/>
          <w:lang w:eastAsia="zh-CN"/>
        </w:rPr>
        <w:t>组织管理仍存在薄弱环节。</w:t>
      </w:r>
    </w:p>
    <w:p w14:paraId="08174046">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一是中外双方协同联动深度不足，外方参与教学管理、学生培养的主动性不强。</w:t>
      </w:r>
    </w:p>
    <w:p w14:paraId="1A536D46">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二</w:t>
      </w:r>
      <w:r>
        <w:rPr>
          <w:rFonts w:ascii="仿宋_GB2312" w:eastAsia="仿宋_GB2312"/>
          <w:sz w:val="32"/>
          <w:szCs w:val="32"/>
          <w:lang w:eastAsia="zh-CN"/>
        </w:rPr>
        <w:t>是部门协同效能有待提升，统筹推进重点工作的合力不足。</w:t>
      </w:r>
    </w:p>
    <w:p w14:paraId="1667E042">
      <w:pPr>
        <w:widowControl w:val="0"/>
        <w:kinsoku/>
        <w:spacing w:line="360" w:lineRule="auto"/>
        <w:ind w:firstLine="640" w:firstLineChars="200"/>
        <w:jc w:val="both"/>
        <w:rPr>
          <w:rFonts w:ascii="仿宋_GB2312" w:eastAsia="仿宋_GB2312"/>
          <w:sz w:val="32"/>
          <w:szCs w:val="32"/>
          <w:lang w:eastAsia="zh-CN"/>
        </w:rPr>
      </w:pPr>
      <w:r>
        <w:rPr>
          <w:rFonts w:ascii="仿宋_GB2312" w:eastAsia="仿宋_GB2312"/>
          <w:sz w:val="32"/>
          <w:szCs w:val="32"/>
          <w:lang w:eastAsia="zh-CN"/>
        </w:rPr>
        <w:t>下一步将聚焦短板弱项精准整改、提质增效。一是健全中外双方常态化会商机制，定期开展工作对接交流，压实外方协同责任，深化双向办学合作。</w:t>
      </w:r>
    </w:p>
    <w:p w14:paraId="0D93E209">
      <w:pPr>
        <w:widowControl w:val="0"/>
        <w:kinsoku/>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二</w:t>
      </w:r>
      <w:r>
        <w:rPr>
          <w:rFonts w:ascii="仿宋_GB2312" w:eastAsia="仿宋_GB2312"/>
          <w:sz w:val="32"/>
          <w:szCs w:val="32"/>
          <w:lang w:eastAsia="zh-CN"/>
        </w:rPr>
        <w:t>是强化联合管理委员会统筹职能，细化各部门分工，健全协同联动工作机制，整合办学资源。</w:t>
      </w:r>
    </w:p>
    <w:p w14:paraId="5A121842">
      <w:pPr>
        <w:widowControl w:val="0"/>
        <w:numPr>
          <w:ilvl w:val="0"/>
          <w:numId w:val="7"/>
        </w:numPr>
        <w:kinsoku/>
        <w:spacing w:line="360" w:lineRule="auto"/>
        <w:ind w:firstLine="640" w:firstLineChars="200"/>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依法办学及办学规范性情况</w:t>
      </w:r>
    </w:p>
    <w:p w14:paraId="2AA74165">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依法规范办学是中外合作办学项目的核心准则与生命线。本项目严格对标《中华人民共和国中外合作办学条例》相关规定，坚守教育公益属性，恪守国家教育方针，严格落实项目审批标准与常态化监管要求，牢牢把握办学主导权与意识形态主动权，严守办学底线，</w:t>
      </w:r>
      <w:bookmarkStart w:id="1" w:name="_GoBack"/>
      <w:r>
        <w:rPr>
          <w:rFonts w:ascii="仿宋_GB2312" w:hAnsi="仿宋_GB2312" w:eastAsia="仿宋_GB2312" w:cs="仿宋_GB2312"/>
          <w:color w:val="auto"/>
          <w:sz w:val="32"/>
          <w:szCs w:val="32"/>
          <w:lang w:eastAsia="zh-CN"/>
        </w:rPr>
        <w:t>筑牢项目规范化、合规化运行根基</w:t>
      </w:r>
      <w:bookmarkEnd w:id="1"/>
      <w:r>
        <w:rPr>
          <w:rFonts w:ascii="仿宋_GB2312" w:hAnsi="仿宋_GB2312" w:eastAsia="仿宋_GB2312" w:cs="仿宋_GB2312"/>
          <w:color w:val="auto"/>
          <w:sz w:val="32"/>
          <w:szCs w:val="32"/>
          <w:lang w:eastAsia="zh-CN"/>
        </w:rPr>
        <w:t>。</w:t>
      </w:r>
    </w:p>
    <w:p w14:paraId="0FEF2B84">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在人才培养</w:t>
      </w:r>
      <w:r>
        <w:rPr>
          <w:rFonts w:hint="eastAsia" w:ascii="仿宋_GB2312" w:hAnsi="仿宋_GB2312" w:eastAsia="仿宋_GB2312" w:cs="仿宋_GB2312"/>
          <w:color w:val="auto"/>
          <w:sz w:val="32"/>
          <w:szCs w:val="32"/>
          <w:lang w:eastAsia="zh-CN"/>
        </w:rPr>
        <w:t>的</w:t>
      </w:r>
      <w:r>
        <w:rPr>
          <w:rFonts w:ascii="仿宋_GB2312" w:hAnsi="仿宋_GB2312" w:eastAsia="仿宋_GB2312" w:cs="仿宋_GB2312"/>
          <w:color w:val="auto"/>
          <w:sz w:val="32"/>
          <w:szCs w:val="32"/>
          <w:lang w:eastAsia="zh-CN"/>
        </w:rPr>
        <w:t>实施层面，项目严格遵照国家教育规范制定教育教学计划、人才培养方案与学制年限，培养方案贴合项目人才培养目标，通过持续优化教育资源配置、迭代国际化人才培养模式，完善教学管理运行机制与人才培养流程，有效夯实学生专业能力、国际视野与综合素养，全面保障人才培养质量。</w:t>
      </w:r>
    </w:p>
    <w:p w14:paraId="01F9BC15">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在境外教材</w:t>
      </w:r>
      <w:r>
        <w:rPr>
          <w:rFonts w:hint="eastAsia" w:ascii="仿宋_GB2312" w:hAnsi="仿宋_GB2312" w:eastAsia="仿宋_GB2312" w:cs="仿宋_GB2312"/>
          <w:color w:val="auto"/>
          <w:sz w:val="32"/>
          <w:szCs w:val="32"/>
          <w:lang w:eastAsia="zh-CN"/>
        </w:rPr>
        <w:t>引进的</w:t>
      </w:r>
      <w:r>
        <w:rPr>
          <w:rFonts w:ascii="仿宋_GB2312" w:hAnsi="仿宋_GB2312" w:eastAsia="仿宋_GB2312" w:cs="仿宋_GB2312"/>
          <w:color w:val="auto"/>
          <w:sz w:val="32"/>
          <w:szCs w:val="32"/>
          <w:lang w:eastAsia="zh-CN"/>
        </w:rPr>
        <w:t>管理方面，学校建立并严格执行专业教师初审、学校教材委员会复审、教务处终审的三级审核制度，从严把控教材选用、审核与使用全流程。</w:t>
      </w:r>
    </w:p>
    <w:p w14:paraId="1F2EFF8D">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项目办学全程合规有序，不存在超规模招生、擅自变更外方合作院校及培养模式、中介机构介入招生录取与人才培养核心环节、违规使用境外教材等各类违规办学问题。</w:t>
      </w:r>
    </w:p>
    <w:p w14:paraId="01BEB299">
      <w:pPr>
        <w:widowControl w:val="0"/>
        <w:numPr>
          <w:ilvl w:val="0"/>
          <w:numId w:val="7"/>
        </w:numPr>
        <w:kinsoku/>
        <w:spacing w:line="360" w:lineRule="auto"/>
        <w:ind w:firstLine="640" w:firstLineChars="200"/>
        <w:jc w:val="both"/>
        <w:rPr>
          <w:rFonts w:hint="eastAsia" w:ascii="黑体" w:hAnsi="黑体" w:eastAsia="黑体" w:cs="黑体"/>
          <w:sz w:val="32"/>
          <w:szCs w:val="32"/>
        </w:rPr>
      </w:pPr>
      <w:r>
        <w:rPr>
          <w:rFonts w:hint="eastAsia" w:ascii="黑体" w:hAnsi="黑体" w:eastAsia="黑体" w:cs="黑体"/>
          <w:sz w:val="32"/>
          <w:szCs w:val="32"/>
        </w:rPr>
        <w:t>合作办学辐射成果</w:t>
      </w:r>
    </w:p>
    <w:p w14:paraId="31130C71">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在实现中外优质教育资源双向互通、优势互补的基础上，依托境外合作高校的平台牵引优势，持续拓展学术交流、跨国文化传播等多元合作维度，形成了广泛且深远的辐射带动效应，为学校国际化办学建设注入了源源不断的内生动力。</w:t>
      </w:r>
    </w:p>
    <w:p w14:paraId="42D10712">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项目落地实施以来，其先进的办学理念、成熟的教学模式和优质的育人体系在校内形成良好示范辐射作用，为学校各院系开展国际化办学改革提供了可借鉴、可复制的实践经验，有效推动了全校国际化教育水平整体提升。依托本</w:t>
      </w:r>
      <w:r>
        <w:rPr>
          <w:rFonts w:hint="eastAsia" w:ascii="仿宋_GB2312" w:hAnsi="仿宋_GB2312" w:eastAsia="仿宋_GB2312" w:cs="仿宋_GB2312"/>
          <w:color w:val="auto"/>
          <w:sz w:val="32"/>
          <w:szCs w:val="32"/>
          <w:lang w:eastAsia="zh-CN"/>
        </w:rPr>
        <w:t>项目</w:t>
      </w:r>
      <w:r>
        <w:rPr>
          <w:rFonts w:ascii="仿宋_GB2312" w:hAnsi="仿宋_GB2312" w:eastAsia="仿宋_GB2312" w:cs="仿宋_GB2312"/>
          <w:color w:val="auto"/>
          <w:sz w:val="32"/>
          <w:szCs w:val="32"/>
          <w:lang w:eastAsia="zh-CN"/>
        </w:rPr>
        <w:t>合作办学的成功经验，学校持续拓展国际合作版图，</w:t>
      </w:r>
      <w:r>
        <w:rPr>
          <w:rFonts w:hint="eastAsia" w:ascii="仿宋_GB2312" w:hAnsi="仿宋_GB2312" w:eastAsia="仿宋_GB2312" w:cs="仿宋_GB2312"/>
          <w:color w:val="auto"/>
          <w:sz w:val="32"/>
          <w:szCs w:val="32"/>
          <w:lang w:eastAsia="zh-CN"/>
        </w:rPr>
        <w:t>先后</w:t>
      </w:r>
      <w:r>
        <w:rPr>
          <w:rFonts w:ascii="仿宋_GB2312" w:hAnsi="仿宋_GB2312" w:eastAsia="仿宋_GB2312" w:cs="仿宋_GB2312"/>
          <w:color w:val="auto"/>
          <w:sz w:val="32"/>
          <w:szCs w:val="32"/>
          <w:lang w:eastAsia="zh-CN"/>
        </w:rPr>
        <w:t>获批</w:t>
      </w:r>
      <w:r>
        <w:rPr>
          <w:rFonts w:hint="eastAsia" w:ascii="仿宋_GB2312" w:hAnsi="仿宋_GB2312" w:eastAsia="仿宋_GB2312" w:cs="仿宋_GB2312"/>
          <w:color w:val="auto"/>
          <w:sz w:val="32"/>
          <w:szCs w:val="32"/>
          <w:lang w:eastAsia="zh-CN"/>
        </w:rPr>
        <w:t>四个另外中外的合作办学项目，并首开国际留学生来华留学项目，</w:t>
      </w:r>
      <w:r>
        <w:rPr>
          <w:rFonts w:ascii="仿宋_GB2312" w:hAnsi="仿宋_GB2312" w:eastAsia="仿宋_GB2312" w:cs="仿宋_GB2312"/>
          <w:color w:val="auto"/>
          <w:sz w:val="32"/>
          <w:szCs w:val="32"/>
          <w:lang w:eastAsia="zh-CN"/>
        </w:rPr>
        <w:t>进一步</w:t>
      </w:r>
      <w:r>
        <w:rPr>
          <w:rFonts w:hint="eastAsia" w:ascii="仿宋_GB2312" w:hAnsi="仿宋_GB2312" w:eastAsia="仿宋_GB2312" w:cs="仿宋_GB2312"/>
          <w:color w:val="auto"/>
          <w:sz w:val="32"/>
          <w:szCs w:val="32"/>
          <w:lang w:eastAsia="zh-CN"/>
        </w:rPr>
        <w:t>凸显</w:t>
      </w:r>
      <w:r>
        <w:rPr>
          <w:rFonts w:ascii="仿宋_GB2312" w:hAnsi="仿宋_GB2312" w:eastAsia="仿宋_GB2312" w:cs="仿宋_GB2312"/>
          <w:color w:val="auto"/>
          <w:sz w:val="32"/>
          <w:szCs w:val="32"/>
          <w:lang w:eastAsia="zh-CN"/>
        </w:rPr>
        <w:t>了学校国际化</w:t>
      </w:r>
      <w:r>
        <w:rPr>
          <w:rFonts w:hint="eastAsia" w:ascii="仿宋_GB2312" w:hAnsi="仿宋_GB2312" w:eastAsia="仿宋_GB2312" w:cs="仿宋_GB2312"/>
          <w:color w:val="auto"/>
          <w:sz w:val="32"/>
          <w:szCs w:val="32"/>
          <w:lang w:eastAsia="zh-CN"/>
        </w:rPr>
        <w:t>办学特色</w:t>
      </w:r>
      <w:r>
        <w:rPr>
          <w:rFonts w:ascii="仿宋_GB2312" w:hAnsi="仿宋_GB2312" w:eastAsia="仿宋_GB2312" w:cs="仿宋_GB2312"/>
          <w:color w:val="auto"/>
          <w:sz w:val="32"/>
          <w:szCs w:val="32"/>
          <w:lang w:eastAsia="zh-CN"/>
        </w:rPr>
        <w:t>。</w:t>
      </w:r>
    </w:p>
    <w:p w14:paraId="3CEA3768">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w:t>
      </w:r>
      <w:r>
        <w:rPr>
          <w:rFonts w:ascii="仿宋_GB2312" w:hAnsi="仿宋_GB2312" w:eastAsia="仿宋_GB2312" w:cs="仿宋_GB2312"/>
          <w:color w:val="auto"/>
          <w:sz w:val="32"/>
          <w:szCs w:val="32"/>
          <w:lang w:eastAsia="zh-CN"/>
        </w:rPr>
        <w:t>项目</w:t>
      </w:r>
      <w:r>
        <w:rPr>
          <w:rFonts w:hint="eastAsia" w:ascii="仿宋_GB2312" w:hAnsi="仿宋_GB2312" w:eastAsia="仿宋_GB2312" w:cs="仿宋_GB2312"/>
          <w:color w:val="auto"/>
          <w:sz w:val="32"/>
          <w:szCs w:val="32"/>
          <w:lang w:eastAsia="zh-CN"/>
        </w:rPr>
        <w:t>为</w:t>
      </w:r>
      <w:r>
        <w:rPr>
          <w:rFonts w:ascii="仿宋_GB2312" w:hAnsi="仿宋_GB2312" w:eastAsia="仿宋_GB2312" w:cs="仿宋_GB2312"/>
          <w:color w:val="auto"/>
          <w:sz w:val="32"/>
          <w:szCs w:val="32"/>
          <w:lang w:eastAsia="zh-CN"/>
        </w:rPr>
        <w:t>学生搭建了高效、便捷的海外升学通道。截至2025年底，已有28名学生通过该通道赴美深造，累计136名毕业生成功考取国内外硕士研究生，6名学生获评国家奖学金。</w:t>
      </w:r>
      <w:r>
        <w:rPr>
          <w:rFonts w:hint="eastAsia" w:ascii="仿宋_GB2312" w:hAnsi="仿宋_GB2312" w:eastAsia="仿宋_GB2312" w:cs="仿宋_GB2312"/>
          <w:color w:val="auto"/>
          <w:sz w:val="32"/>
          <w:szCs w:val="32"/>
          <w:lang w:eastAsia="zh-CN"/>
        </w:rPr>
        <w:t>同时</w:t>
      </w:r>
      <w:r>
        <w:rPr>
          <w:rFonts w:ascii="仿宋_GB2312" w:hAnsi="仿宋_GB2312" w:eastAsia="仿宋_GB2312" w:cs="仿宋_GB2312"/>
          <w:color w:val="auto"/>
          <w:sz w:val="32"/>
          <w:szCs w:val="32"/>
          <w:lang w:eastAsia="zh-CN"/>
        </w:rPr>
        <w:t>项目学生依托外方优质科研资源</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已在国内核心及以上级别期刊发表学术论文10余篇，有效锤炼了学生的科研与学术能力。</w:t>
      </w:r>
    </w:p>
    <w:p w14:paraId="005C635B">
      <w:pPr>
        <w:widowControl w:val="0"/>
        <w:kinsoku/>
        <w:spacing w:line="360" w:lineRule="auto"/>
        <w:ind w:firstLine="640" w:firstLineChars="200"/>
        <w:jc w:val="both"/>
        <w:rPr>
          <w:rFonts w:hint="eastAsia" w:ascii="仿宋_GB2312" w:hAnsi="仿宋_GB2312" w:eastAsia="仿宋_GB2312" w:cs="仿宋_GB2312"/>
          <w:color w:val="FF0000"/>
          <w:sz w:val="32"/>
          <w:szCs w:val="32"/>
          <w:lang w:eastAsia="zh-CN"/>
        </w:rPr>
      </w:pPr>
      <w:r>
        <w:rPr>
          <w:rFonts w:ascii="仿宋_GB2312" w:hAnsi="仿宋_GB2312" w:eastAsia="仿宋_GB2312" w:cs="仿宋_GB2312"/>
          <w:color w:val="auto"/>
          <w:sz w:val="32"/>
          <w:szCs w:val="32"/>
          <w:lang w:eastAsia="zh-CN"/>
        </w:rPr>
        <w:t>中外双方始终聚焦人才培养核心目标，协同优化课程体系架构、迭代更新教学内容、创新改革教学方法，持续夯实教学基础、提升育人质量，保障合作办学教学成效稳步提升。培养模式着力塑造学生“专业能力+外语素养”的复合型国际化核心竞争力，帮助学生构建全球化知识体系、拓宽国际视野，全面提升专业素养与综合实践能力</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育人成效成果丰硕</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充分彰显了合作办学的人才培养质量。</w:t>
      </w:r>
    </w:p>
    <w:p w14:paraId="4D51E967">
      <w:pPr>
        <w:widowControl w:val="0"/>
        <w:kinsoku/>
        <w:spacing w:line="360" w:lineRule="auto"/>
        <w:ind w:firstLine="640" w:firstLineChars="200"/>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九、形势分析及应对措施</w:t>
      </w:r>
    </w:p>
    <w:p w14:paraId="0EBA35F9">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2023年是本项目招生的最后一年。学校始终秉持</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以生为本</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的育人理念，坚持既定人才培养方针，持续为在籍学生提供优质教育资源，全力保障学生顺利完成学业</w:t>
      </w:r>
      <w:r>
        <w:rPr>
          <w:rFonts w:hint="eastAsia" w:ascii="仿宋_GB2312" w:hAnsi="仿宋_GB2312" w:eastAsia="仿宋_GB2312" w:cs="仿宋_GB2312"/>
          <w:color w:val="auto"/>
          <w:sz w:val="32"/>
          <w:szCs w:val="32"/>
          <w:lang w:eastAsia="zh-CN"/>
        </w:rPr>
        <w:t>并顺利</w:t>
      </w:r>
      <w:r>
        <w:rPr>
          <w:rFonts w:ascii="仿宋_GB2312" w:hAnsi="仿宋_GB2312" w:eastAsia="仿宋_GB2312" w:cs="仿宋_GB2312"/>
          <w:color w:val="auto"/>
          <w:sz w:val="32"/>
          <w:szCs w:val="32"/>
          <w:lang w:eastAsia="zh-CN"/>
        </w:rPr>
        <w:t>就业。围绕这一目标，学校将重点推进以下</w:t>
      </w:r>
      <w:r>
        <w:rPr>
          <w:rFonts w:hint="eastAsia" w:ascii="仿宋_GB2312" w:hAnsi="仿宋_GB2312" w:eastAsia="仿宋_GB2312" w:cs="仿宋_GB2312"/>
          <w:color w:val="auto"/>
          <w:sz w:val="32"/>
          <w:szCs w:val="32"/>
          <w:lang w:val="en-US" w:eastAsia="zh-CN"/>
        </w:rPr>
        <w:t>五</w:t>
      </w:r>
      <w:r>
        <w:rPr>
          <w:rFonts w:ascii="仿宋_GB2312" w:hAnsi="仿宋_GB2312" w:eastAsia="仿宋_GB2312" w:cs="仿宋_GB2312"/>
          <w:color w:val="auto"/>
          <w:sz w:val="32"/>
          <w:szCs w:val="32"/>
          <w:lang w:eastAsia="zh-CN"/>
        </w:rPr>
        <w:t>方面工作：</w:t>
      </w:r>
    </w:p>
    <w:p w14:paraId="18B55053">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第一，</w:t>
      </w:r>
      <w:r>
        <w:rPr>
          <w:rFonts w:ascii="仿宋_GB2312" w:hAnsi="仿宋_GB2312" w:eastAsia="仿宋_GB2312" w:cs="仿宋_GB2312"/>
          <w:color w:val="auto"/>
          <w:sz w:val="32"/>
          <w:szCs w:val="32"/>
          <w:lang w:eastAsia="zh-CN"/>
        </w:rPr>
        <w:t>强化指导服务职能，明确以服务学生为中心的工作定位，为学生学习</w:t>
      </w:r>
      <w:r>
        <w:rPr>
          <w:rFonts w:hint="eastAsia" w:ascii="仿宋_GB2312" w:hAnsi="仿宋_GB2312" w:eastAsia="仿宋_GB2312" w:cs="仿宋_GB2312"/>
          <w:color w:val="auto"/>
          <w:sz w:val="32"/>
          <w:szCs w:val="32"/>
          <w:lang w:eastAsia="zh-CN"/>
        </w:rPr>
        <w:t>、就业、升学</w:t>
      </w:r>
      <w:r>
        <w:rPr>
          <w:rFonts w:ascii="仿宋_GB2312" w:hAnsi="仿宋_GB2312" w:eastAsia="仿宋_GB2312" w:cs="仿宋_GB2312"/>
          <w:color w:val="auto"/>
          <w:sz w:val="32"/>
          <w:szCs w:val="32"/>
          <w:lang w:eastAsia="zh-CN"/>
        </w:rPr>
        <w:t>提供切实有效的帮扶。</w:t>
      </w:r>
    </w:p>
    <w:p w14:paraId="7ED742D6">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第二，</w:t>
      </w:r>
      <w:r>
        <w:rPr>
          <w:rFonts w:ascii="仿宋_GB2312" w:hAnsi="仿宋_GB2312" w:eastAsia="仿宋_GB2312" w:cs="仿宋_GB2312"/>
          <w:color w:val="auto"/>
          <w:sz w:val="32"/>
          <w:szCs w:val="32"/>
          <w:lang w:eastAsia="zh-CN"/>
        </w:rPr>
        <w:t>着力拓展国际交流渠道，提升学生跨文化交流能力，彰显国际化办学特色，为学生赴国外交流学习搭建平台。</w:t>
      </w:r>
    </w:p>
    <w:p w14:paraId="232BFEE9">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第三，</w:t>
      </w:r>
      <w:r>
        <w:rPr>
          <w:rFonts w:hint="eastAsia" w:ascii="仿宋_GB2312" w:hAnsi="仿宋_GB2312" w:eastAsia="仿宋_GB2312" w:cs="仿宋_GB2312"/>
          <w:color w:val="auto"/>
          <w:sz w:val="32"/>
          <w:szCs w:val="32"/>
          <w:lang w:eastAsia="zh-CN"/>
        </w:rPr>
        <w:t>继续</w:t>
      </w:r>
      <w:r>
        <w:rPr>
          <w:rFonts w:ascii="仿宋_GB2312" w:hAnsi="仿宋_GB2312" w:eastAsia="仿宋_GB2312" w:cs="仿宋_GB2312"/>
          <w:color w:val="auto"/>
          <w:sz w:val="32"/>
          <w:szCs w:val="32"/>
          <w:lang w:eastAsia="zh-CN"/>
        </w:rPr>
        <w:t>保持双语课程开设的数量与比例，严格把控教学质量，确保双语教学保质保量完成。</w:t>
      </w:r>
    </w:p>
    <w:p w14:paraId="0741B335">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第四，</w:t>
      </w:r>
      <w:r>
        <w:rPr>
          <w:rFonts w:ascii="仿宋_GB2312" w:hAnsi="仿宋_GB2312" w:eastAsia="仿宋_GB2312" w:cs="仿宋_GB2312"/>
          <w:color w:val="auto"/>
          <w:sz w:val="32"/>
          <w:szCs w:val="32"/>
          <w:lang w:eastAsia="zh-CN"/>
        </w:rPr>
        <w:t>扎实做好各项常规教学</w:t>
      </w:r>
      <w:r>
        <w:rPr>
          <w:rFonts w:hint="eastAsia" w:ascii="仿宋_GB2312" w:hAnsi="仿宋_GB2312" w:eastAsia="仿宋_GB2312" w:cs="仿宋_GB2312"/>
          <w:color w:val="auto"/>
          <w:sz w:val="32"/>
          <w:szCs w:val="32"/>
          <w:lang w:eastAsia="zh-CN"/>
        </w:rPr>
        <w:t>工作，</w:t>
      </w:r>
      <w:r>
        <w:rPr>
          <w:rFonts w:ascii="仿宋_GB2312" w:hAnsi="仿宋_GB2312" w:eastAsia="仿宋_GB2312" w:cs="仿宋_GB2312"/>
          <w:color w:val="auto"/>
          <w:sz w:val="32"/>
          <w:szCs w:val="32"/>
          <w:lang w:eastAsia="zh-CN"/>
        </w:rPr>
        <w:t>继续保持教学零投诉</w:t>
      </w:r>
      <w:r>
        <w:rPr>
          <w:rFonts w:hint="eastAsia" w:ascii="仿宋_GB2312" w:hAnsi="仿宋_GB2312" w:eastAsia="仿宋_GB2312" w:cs="仿宋_GB2312"/>
          <w:color w:val="auto"/>
          <w:sz w:val="32"/>
          <w:szCs w:val="32"/>
          <w:lang w:eastAsia="zh-CN"/>
        </w:rPr>
        <w:t>。</w:t>
      </w:r>
    </w:p>
    <w:p w14:paraId="69DEEB29">
      <w:pPr>
        <w:widowControl w:val="0"/>
        <w:kinsoku/>
        <w:spacing w:line="360" w:lineRule="auto"/>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第五，</w:t>
      </w:r>
      <w:r>
        <w:rPr>
          <w:rFonts w:hint="eastAsia" w:ascii="仿宋_GB2312" w:hAnsi="仿宋_GB2312" w:eastAsia="仿宋_GB2312" w:cs="仿宋_GB2312"/>
          <w:color w:val="auto"/>
          <w:sz w:val="32"/>
          <w:szCs w:val="32"/>
          <w:lang w:eastAsia="zh-CN"/>
        </w:rPr>
        <w:t>继续加强学生的管理工作，保障学生安全，继续保持</w:t>
      </w:r>
      <w:r>
        <w:rPr>
          <w:rFonts w:ascii="仿宋_GB2312" w:hAnsi="仿宋_GB2312" w:eastAsia="仿宋_GB2312" w:cs="仿宋_GB2312"/>
          <w:color w:val="auto"/>
          <w:sz w:val="32"/>
          <w:szCs w:val="32"/>
          <w:lang w:eastAsia="zh-CN"/>
        </w:rPr>
        <w:t>学生管理零重大违纪的良好局面。</w:t>
      </w:r>
    </w:p>
    <w:p w14:paraId="1F15024A">
      <w:pPr>
        <w:widowControl w:val="0"/>
        <w:kinsoku/>
        <w:spacing w:line="360" w:lineRule="auto"/>
        <w:ind w:firstLine="640" w:firstLineChars="200"/>
        <w:jc w:val="both"/>
        <w:rPr>
          <w:rFonts w:ascii="仿宋_GB2312" w:eastAsia="仿宋_GB2312"/>
          <w:sz w:val="32"/>
          <w:szCs w:val="32"/>
          <w:lang w:eastAsia="zh-CN"/>
        </w:rPr>
      </w:pPr>
    </w:p>
    <w:p w14:paraId="3AF15AE2">
      <w:pPr>
        <w:widowControl w:val="0"/>
        <w:kinsoku/>
        <w:spacing w:line="360" w:lineRule="auto"/>
        <w:ind w:firstLine="420" w:firstLineChars="200"/>
        <w:jc w:val="both"/>
        <w:rPr>
          <w:lang w:eastAsia="zh-CN"/>
        </w:rPr>
      </w:pPr>
    </w:p>
    <w:sectPr>
      <w:footerReference r:id="rId3" w:type="default"/>
      <w:pgSz w:w="11906" w:h="16839"/>
      <w:pgMar w:top="1440" w:right="1786" w:bottom="1440" w:left="1786" w:header="851" w:footer="992"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9C4F2A-ABEC-4104-9766-5109BA153A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 SC">
    <w:altName w:val="宋体"/>
    <w:panose1 w:val="00000000000000000000"/>
    <w:charset w:val="86"/>
    <w:family w:val="auto"/>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2" w:fontKey="{EBC763C7-11D5-4D7A-890F-A8B2A1580E75}"/>
  </w:font>
  <w:font w:name="方正小标宋简体">
    <w:panose1 w:val="03000509000000000000"/>
    <w:charset w:val="86"/>
    <w:family w:val="script"/>
    <w:pitch w:val="default"/>
    <w:sig w:usb0="00000001" w:usb1="080E0000" w:usb2="00000000" w:usb3="00000000" w:csb0="00040000" w:csb1="00000000"/>
    <w:embedRegular r:id="rId3" w:fontKey="{C6209242-6F09-4D40-8800-F2C687B642B4}"/>
  </w:font>
  <w:font w:name="楷体_GB2312">
    <w:panose1 w:val="02010609030101010101"/>
    <w:charset w:val="86"/>
    <w:family w:val="modern"/>
    <w:pitch w:val="default"/>
    <w:sig w:usb0="00000001" w:usb1="080E0000" w:usb2="00000000" w:usb3="00000000" w:csb0="00040000" w:csb1="00000000"/>
    <w:embedRegular r:id="rId4" w:fontKey="{AF96D5FC-4A71-4507-B96D-8C5AD99B0E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1"/>
        <w:szCs w:val="21"/>
      </w:rPr>
      <w:id w:val="1048569160"/>
    </w:sdtPr>
    <w:sdtEndPr>
      <w:rPr>
        <w:rFonts w:asciiTheme="minorEastAsia" w:hAnsiTheme="minorEastAsia" w:eastAsiaTheme="minorEastAsia"/>
        <w:sz w:val="21"/>
        <w:szCs w:val="21"/>
      </w:rPr>
    </w:sdtEndPr>
    <w:sdtContent>
      <w:p w14:paraId="6394D7F6">
        <w:pPr>
          <w:pStyle w:val="4"/>
          <w:jc w:val="center"/>
          <w:rPr>
            <w:rFonts w:hint="eastAsia" w:asciiTheme="minorEastAsia" w:hAnsiTheme="minorEastAsia" w:eastAsiaTheme="minorEastAsia"/>
            <w:sz w:val="21"/>
            <w:szCs w:val="21"/>
          </w:rPr>
        </w:pPr>
        <w:r>
          <w:rPr>
            <w:rFonts w:asciiTheme="minorEastAsia" w:hAnsiTheme="minorEastAsia" w:eastAsiaTheme="minorEastAsia"/>
            <w:sz w:val="21"/>
            <w:szCs w:val="21"/>
          </w:rPr>
          <w:fldChar w:fldCharType="begin"/>
        </w:r>
        <w:r>
          <w:rPr>
            <w:rFonts w:asciiTheme="minorEastAsia" w:hAnsiTheme="minorEastAsia" w:eastAsiaTheme="minorEastAsia"/>
            <w:sz w:val="21"/>
            <w:szCs w:val="21"/>
          </w:rPr>
          <w:instrText xml:space="preserve">PAGE   \* MERGEFORMAT</w:instrText>
        </w:r>
        <w:r>
          <w:rPr>
            <w:rFonts w:asciiTheme="minorEastAsia" w:hAnsiTheme="minorEastAsia" w:eastAsiaTheme="minorEastAsia"/>
            <w:sz w:val="21"/>
            <w:szCs w:val="21"/>
          </w:rPr>
          <w:fldChar w:fldCharType="separate"/>
        </w:r>
        <w:r>
          <w:rPr>
            <w:rFonts w:asciiTheme="minorEastAsia" w:hAnsiTheme="minorEastAsia" w:eastAsiaTheme="minorEastAsia"/>
            <w:sz w:val="21"/>
            <w:szCs w:val="21"/>
            <w:lang w:val="zh-CN" w:eastAsia="zh-CN"/>
          </w:rPr>
          <w:t>2</w:t>
        </w:r>
        <w:r>
          <w:rPr>
            <w:rFonts w:asciiTheme="minorEastAsia" w:hAnsiTheme="minorEastAsia" w:eastAsiaTheme="minorEastAsia"/>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E63B73"/>
    <w:multiLevelType w:val="singleLevel"/>
    <w:tmpl w:val="97E63B73"/>
    <w:lvl w:ilvl="0" w:tentative="0">
      <w:start w:val="1"/>
      <w:numFmt w:val="chineseCounting"/>
      <w:suff w:val="nothing"/>
      <w:lvlText w:val="（%1）"/>
      <w:lvlJc w:val="left"/>
      <w:rPr>
        <w:rFonts w:hint="eastAsia"/>
      </w:rPr>
    </w:lvl>
  </w:abstractNum>
  <w:abstractNum w:abstractNumId="1">
    <w:nsid w:val="B7719354"/>
    <w:multiLevelType w:val="singleLevel"/>
    <w:tmpl w:val="B7719354"/>
    <w:lvl w:ilvl="0" w:tentative="0">
      <w:start w:val="1"/>
      <w:numFmt w:val="chineseCounting"/>
      <w:suff w:val="nothing"/>
      <w:lvlText w:val="（%1）"/>
      <w:lvlJc w:val="left"/>
      <w:rPr>
        <w:rFonts w:hint="eastAsia"/>
      </w:rPr>
    </w:lvl>
  </w:abstractNum>
  <w:abstractNum w:abstractNumId="2">
    <w:nsid w:val="F5FC8248"/>
    <w:multiLevelType w:val="singleLevel"/>
    <w:tmpl w:val="F5FC8248"/>
    <w:lvl w:ilvl="0" w:tentative="0">
      <w:start w:val="1"/>
      <w:numFmt w:val="chineseCounting"/>
      <w:suff w:val="nothing"/>
      <w:lvlText w:val="（%1）"/>
      <w:lvlJc w:val="left"/>
      <w:rPr>
        <w:rFonts w:hint="eastAsia"/>
      </w:rPr>
    </w:lvl>
  </w:abstractNum>
  <w:abstractNum w:abstractNumId="3">
    <w:nsid w:val="0676EDE8"/>
    <w:multiLevelType w:val="singleLevel"/>
    <w:tmpl w:val="0676EDE8"/>
    <w:lvl w:ilvl="0" w:tentative="0">
      <w:start w:val="2"/>
      <w:numFmt w:val="chineseCounting"/>
      <w:suff w:val="nothing"/>
      <w:lvlText w:val="（%1）"/>
      <w:lvlJc w:val="left"/>
      <w:rPr>
        <w:rFonts w:hint="eastAsia"/>
      </w:rPr>
    </w:lvl>
  </w:abstractNum>
  <w:abstractNum w:abstractNumId="4">
    <w:nsid w:val="0CB59466"/>
    <w:multiLevelType w:val="singleLevel"/>
    <w:tmpl w:val="0CB59466"/>
    <w:lvl w:ilvl="0" w:tentative="0">
      <w:start w:val="4"/>
      <w:numFmt w:val="chineseCounting"/>
      <w:suff w:val="nothing"/>
      <w:lvlText w:val="（%1）"/>
      <w:lvlJc w:val="left"/>
      <w:rPr>
        <w:rFonts w:hint="eastAsia"/>
      </w:rPr>
    </w:lvl>
  </w:abstractNum>
  <w:abstractNum w:abstractNumId="5">
    <w:nsid w:val="24A22E3A"/>
    <w:multiLevelType w:val="singleLevel"/>
    <w:tmpl w:val="24A22E3A"/>
    <w:lvl w:ilvl="0" w:tentative="0">
      <w:start w:val="7"/>
      <w:numFmt w:val="chineseCounting"/>
      <w:suff w:val="nothing"/>
      <w:lvlText w:val="%1、"/>
      <w:lvlJc w:val="left"/>
      <w:rPr>
        <w:rFonts w:hint="eastAsia"/>
      </w:rPr>
    </w:lvl>
  </w:abstractNum>
  <w:abstractNum w:abstractNumId="6">
    <w:nsid w:val="2998EF7E"/>
    <w:multiLevelType w:val="singleLevel"/>
    <w:tmpl w:val="2998EF7E"/>
    <w:lvl w:ilvl="0" w:tentative="0">
      <w:start w:val="1"/>
      <w:numFmt w:val="chineseCounting"/>
      <w:suff w:val="nothing"/>
      <w:lvlText w:val="（%1）"/>
      <w:lvlJc w:val="left"/>
      <w:rPr>
        <w:rFonts w:hint="eastAsia"/>
      </w:rPr>
    </w:lvl>
  </w:abstractNum>
  <w:num w:numId="1">
    <w:abstractNumId w:val="0"/>
  </w:num>
  <w:num w:numId="2">
    <w:abstractNumId w:val="3"/>
  </w:num>
  <w:num w:numId="3">
    <w:abstractNumId w:val="4"/>
  </w:num>
  <w:num w:numId="4">
    <w:abstractNumId w:val="2"/>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14C"/>
    <w:rsid w:val="0002406B"/>
    <w:rsid w:val="00031B49"/>
    <w:rsid w:val="000475A5"/>
    <w:rsid w:val="000668AA"/>
    <w:rsid w:val="00073B97"/>
    <w:rsid w:val="000B7461"/>
    <w:rsid w:val="000D7213"/>
    <w:rsid w:val="000D7F5F"/>
    <w:rsid w:val="00114C8A"/>
    <w:rsid w:val="00116D61"/>
    <w:rsid w:val="00116FD5"/>
    <w:rsid w:val="0012202D"/>
    <w:rsid w:val="0012342F"/>
    <w:rsid w:val="001278EC"/>
    <w:rsid w:val="00130106"/>
    <w:rsid w:val="001554E8"/>
    <w:rsid w:val="00156C4F"/>
    <w:rsid w:val="00163FCC"/>
    <w:rsid w:val="00173C77"/>
    <w:rsid w:val="001A1104"/>
    <w:rsid w:val="001A5934"/>
    <w:rsid w:val="001F350D"/>
    <w:rsid w:val="002031D9"/>
    <w:rsid w:val="002241CC"/>
    <w:rsid w:val="0025363F"/>
    <w:rsid w:val="00276A53"/>
    <w:rsid w:val="00283DE5"/>
    <w:rsid w:val="002A2C71"/>
    <w:rsid w:val="002D4253"/>
    <w:rsid w:val="002D4350"/>
    <w:rsid w:val="002E2A4A"/>
    <w:rsid w:val="002F2FDD"/>
    <w:rsid w:val="00304A79"/>
    <w:rsid w:val="00311C34"/>
    <w:rsid w:val="00320823"/>
    <w:rsid w:val="00332B74"/>
    <w:rsid w:val="00334B44"/>
    <w:rsid w:val="00337750"/>
    <w:rsid w:val="003617D2"/>
    <w:rsid w:val="00365C96"/>
    <w:rsid w:val="00393235"/>
    <w:rsid w:val="00395D55"/>
    <w:rsid w:val="003A7EBA"/>
    <w:rsid w:val="003D25EB"/>
    <w:rsid w:val="003F75BD"/>
    <w:rsid w:val="0044127C"/>
    <w:rsid w:val="00460648"/>
    <w:rsid w:val="00460DD6"/>
    <w:rsid w:val="00461290"/>
    <w:rsid w:val="00481948"/>
    <w:rsid w:val="004C19E4"/>
    <w:rsid w:val="004C52A4"/>
    <w:rsid w:val="00505746"/>
    <w:rsid w:val="00523C27"/>
    <w:rsid w:val="00530506"/>
    <w:rsid w:val="005379C8"/>
    <w:rsid w:val="005755EF"/>
    <w:rsid w:val="00590B81"/>
    <w:rsid w:val="00597AAB"/>
    <w:rsid w:val="005A3DF0"/>
    <w:rsid w:val="005B3A75"/>
    <w:rsid w:val="005C5FFD"/>
    <w:rsid w:val="005C6010"/>
    <w:rsid w:val="006204B3"/>
    <w:rsid w:val="006579E4"/>
    <w:rsid w:val="006761E8"/>
    <w:rsid w:val="006820C5"/>
    <w:rsid w:val="00690DCD"/>
    <w:rsid w:val="006D38A7"/>
    <w:rsid w:val="006D6972"/>
    <w:rsid w:val="006E3D43"/>
    <w:rsid w:val="006F1873"/>
    <w:rsid w:val="00712CB7"/>
    <w:rsid w:val="0072654E"/>
    <w:rsid w:val="00735082"/>
    <w:rsid w:val="007645AE"/>
    <w:rsid w:val="00767AA2"/>
    <w:rsid w:val="00767E22"/>
    <w:rsid w:val="0078326E"/>
    <w:rsid w:val="007A448A"/>
    <w:rsid w:val="007C242B"/>
    <w:rsid w:val="007E332A"/>
    <w:rsid w:val="0080048B"/>
    <w:rsid w:val="008120FC"/>
    <w:rsid w:val="00812BF0"/>
    <w:rsid w:val="00813B30"/>
    <w:rsid w:val="0081670B"/>
    <w:rsid w:val="00822164"/>
    <w:rsid w:val="00841EA0"/>
    <w:rsid w:val="0084771C"/>
    <w:rsid w:val="0085416D"/>
    <w:rsid w:val="00854D10"/>
    <w:rsid w:val="0087000E"/>
    <w:rsid w:val="00882421"/>
    <w:rsid w:val="008836DF"/>
    <w:rsid w:val="00883B24"/>
    <w:rsid w:val="00884A67"/>
    <w:rsid w:val="00893B62"/>
    <w:rsid w:val="008A37B9"/>
    <w:rsid w:val="008D0BBE"/>
    <w:rsid w:val="008D450D"/>
    <w:rsid w:val="00924F05"/>
    <w:rsid w:val="0094305F"/>
    <w:rsid w:val="00977D1D"/>
    <w:rsid w:val="00983FAA"/>
    <w:rsid w:val="009B6385"/>
    <w:rsid w:val="009D3D19"/>
    <w:rsid w:val="009F0C11"/>
    <w:rsid w:val="009F6680"/>
    <w:rsid w:val="00A34100"/>
    <w:rsid w:val="00A6186D"/>
    <w:rsid w:val="00A91BD3"/>
    <w:rsid w:val="00AC4D64"/>
    <w:rsid w:val="00AD4B65"/>
    <w:rsid w:val="00B017F4"/>
    <w:rsid w:val="00B32557"/>
    <w:rsid w:val="00BA46A2"/>
    <w:rsid w:val="00BA7EF9"/>
    <w:rsid w:val="00BC4146"/>
    <w:rsid w:val="00BF414C"/>
    <w:rsid w:val="00C07654"/>
    <w:rsid w:val="00C45D57"/>
    <w:rsid w:val="00C47FD9"/>
    <w:rsid w:val="00C51483"/>
    <w:rsid w:val="00C77A50"/>
    <w:rsid w:val="00C82D91"/>
    <w:rsid w:val="00C84925"/>
    <w:rsid w:val="00C9387F"/>
    <w:rsid w:val="00CA2E25"/>
    <w:rsid w:val="00CE2102"/>
    <w:rsid w:val="00CF3E18"/>
    <w:rsid w:val="00D01ACF"/>
    <w:rsid w:val="00D11195"/>
    <w:rsid w:val="00D20523"/>
    <w:rsid w:val="00D576C9"/>
    <w:rsid w:val="00D8030C"/>
    <w:rsid w:val="00D81BAC"/>
    <w:rsid w:val="00DA05C9"/>
    <w:rsid w:val="00DA53B1"/>
    <w:rsid w:val="00DB2866"/>
    <w:rsid w:val="00DB2983"/>
    <w:rsid w:val="00DB3C03"/>
    <w:rsid w:val="00DD5C46"/>
    <w:rsid w:val="00DF5869"/>
    <w:rsid w:val="00E10EDF"/>
    <w:rsid w:val="00E71B8B"/>
    <w:rsid w:val="00E74DA0"/>
    <w:rsid w:val="00E823E0"/>
    <w:rsid w:val="00E9077C"/>
    <w:rsid w:val="00E96468"/>
    <w:rsid w:val="00EB517C"/>
    <w:rsid w:val="00ED6002"/>
    <w:rsid w:val="00ED67D5"/>
    <w:rsid w:val="00EF614C"/>
    <w:rsid w:val="00F221A6"/>
    <w:rsid w:val="00F2668B"/>
    <w:rsid w:val="00F34DBF"/>
    <w:rsid w:val="00F37A3D"/>
    <w:rsid w:val="00F44668"/>
    <w:rsid w:val="00F827D4"/>
    <w:rsid w:val="00FA5A99"/>
    <w:rsid w:val="00FD064B"/>
    <w:rsid w:val="00FE43ED"/>
    <w:rsid w:val="00FE6B39"/>
    <w:rsid w:val="010569BB"/>
    <w:rsid w:val="020D0006"/>
    <w:rsid w:val="051E257E"/>
    <w:rsid w:val="064B3A72"/>
    <w:rsid w:val="0AAF2EFD"/>
    <w:rsid w:val="0DA61699"/>
    <w:rsid w:val="0DCC1F2F"/>
    <w:rsid w:val="0E495CF9"/>
    <w:rsid w:val="11E36A77"/>
    <w:rsid w:val="12E60D86"/>
    <w:rsid w:val="13575714"/>
    <w:rsid w:val="14F92D97"/>
    <w:rsid w:val="164B51E1"/>
    <w:rsid w:val="17896135"/>
    <w:rsid w:val="1A887542"/>
    <w:rsid w:val="1C136BED"/>
    <w:rsid w:val="1FE268E7"/>
    <w:rsid w:val="21FC25B7"/>
    <w:rsid w:val="274A506A"/>
    <w:rsid w:val="286F7C2A"/>
    <w:rsid w:val="296368EC"/>
    <w:rsid w:val="2AB54EB7"/>
    <w:rsid w:val="2CC75845"/>
    <w:rsid w:val="2E762F5B"/>
    <w:rsid w:val="33596818"/>
    <w:rsid w:val="33E162A4"/>
    <w:rsid w:val="34E97715"/>
    <w:rsid w:val="359346EE"/>
    <w:rsid w:val="38BC79D3"/>
    <w:rsid w:val="3EF66048"/>
    <w:rsid w:val="3F9032F1"/>
    <w:rsid w:val="3FD140EA"/>
    <w:rsid w:val="4389375C"/>
    <w:rsid w:val="44AB5669"/>
    <w:rsid w:val="4AB86F78"/>
    <w:rsid w:val="4BEB429E"/>
    <w:rsid w:val="4C150230"/>
    <w:rsid w:val="4C6A425C"/>
    <w:rsid w:val="51B82AB2"/>
    <w:rsid w:val="532C5091"/>
    <w:rsid w:val="57F966E2"/>
    <w:rsid w:val="58B43026"/>
    <w:rsid w:val="5D16507D"/>
    <w:rsid w:val="5F920A80"/>
    <w:rsid w:val="66D402E5"/>
    <w:rsid w:val="6838538E"/>
    <w:rsid w:val="68715A86"/>
    <w:rsid w:val="68B94F43"/>
    <w:rsid w:val="68CB57E6"/>
    <w:rsid w:val="6D7E0B5E"/>
    <w:rsid w:val="6DA627B7"/>
    <w:rsid w:val="6EED1A53"/>
    <w:rsid w:val="6F1A7097"/>
    <w:rsid w:val="6F4D50A0"/>
    <w:rsid w:val="739C40C6"/>
    <w:rsid w:val="757415C3"/>
    <w:rsid w:val="7649092B"/>
    <w:rsid w:val="7A614B7F"/>
    <w:rsid w:val="7B850944"/>
    <w:rsid w:val="7E7A76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0"/>
    <w:pPr>
      <w:keepNext/>
      <w:keepLines/>
      <w:spacing w:before="260" w:after="260" w:line="413" w:lineRule="auto"/>
      <w:outlineLvl w:val="1"/>
    </w:pPr>
    <w:rPr>
      <w:rFonts w:eastAsia="Kaiti SC"/>
      <w:b/>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仿宋_GB2312" w:hAnsi="仿宋_GB2312" w:eastAsia="仿宋_GB2312" w:cs="仿宋_GB2312"/>
      <w:sz w:val="28"/>
      <w:szCs w:val="28"/>
    </w:rPr>
  </w:style>
  <w:style w:type="paragraph" w:styleId="4">
    <w:name w:val="footer"/>
    <w:basedOn w:val="1"/>
    <w:link w:val="9"/>
    <w:unhideWhenUsed/>
    <w:qFormat/>
    <w:uiPriority w:val="99"/>
    <w:pPr>
      <w:tabs>
        <w:tab w:val="center" w:pos="4153"/>
        <w:tab w:val="right" w:pos="8306"/>
      </w:tabs>
    </w:pPr>
    <w:rPr>
      <w:rFonts w:ascii="仿宋_GB2312" w:hAnsi="仿宋_GB2312" w:eastAsia="仿宋_GB2312"/>
      <w:sz w:val="18"/>
      <w:szCs w:val="18"/>
    </w:rPr>
  </w:style>
  <w:style w:type="paragraph" w:styleId="5">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6">
    <w:name w:val="Normal (Web)"/>
    <w:basedOn w:val="1"/>
    <w:qFormat/>
    <w:uiPriority w:val="0"/>
    <w:rPr>
      <w:rFonts w:ascii="Times New Roman" w:hAnsi="Times New Roman" w:cs="Times New Roman"/>
      <w:sz w:val="24"/>
      <w:szCs w:val="24"/>
    </w:rPr>
  </w:style>
  <w:style w:type="character" w:customStyle="1" w:styleId="9">
    <w:name w:val="页脚 字符"/>
    <w:basedOn w:val="8"/>
    <w:link w:val="4"/>
    <w:qFormat/>
    <w:uiPriority w:val="99"/>
    <w:rPr>
      <w:rFonts w:ascii="仿宋_GB2312" w:hAnsi="仿宋_GB2312" w:eastAsia="仿宋_GB2312" w:cs="Arial"/>
      <w:snapToGrid w:val="0"/>
      <w:color w:val="000000"/>
      <w:sz w:val="18"/>
      <w:szCs w:val="18"/>
      <w:lang w:eastAsia="en-US"/>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3D1A6-920C-4306-AE17-20BBEA964284}">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7825</Words>
  <Characters>7987</Characters>
  <Lines>186</Lines>
  <Paragraphs>96</Paragraphs>
  <TotalTime>3</TotalTime>
  <ScaleCrop>false</ScaleCrop>
  <LinksUpToDate>false</LinksUpToDate>
  <CharactersWithSpaces>7987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2026-09-19T08:37:00Z</dcterms:created>
  <dc:creator>Econ</dc:creator>
  <cp:lastModifiedBy>汪危</cp:lastModifiedBy>
  <cp:lastPrinted>2026-09-24T00:37:00Z</cp:lastPrinted>
  <dcterms:modified xsi:type="dcterms:W3CDTF">2026-10-30T07:52:57Z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69A6C37E6D6C4D87AF8DB9F7F87D2352_13</vt:lpwstr>
  </property>
  <property fmtid="{D5CDD505-2E9C-101B-9397-08002B2CF9AE}" pid="4" name="KSOTemplateDocerSaveRecord">
    <vt:lpwstr>eyJoZGlkIjoiZmFmOTVjOTAzMTgyYmM3NTg5MjU1MmRkYTUzYWU0N2UiLCJ1c2VySWQiOiIxODc2NzM1NDQzIn0=</vt:lpwstr>
  </property>
</Properties>
</file>